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560" w:lineRule="exact"/>
        <w:jc w:val="center"/>
        <w:rPr>
          <w:rFonts w:ascii="Times New Roman" w:hAnsi="Times New Roman" w:eastAsia="仿宋" w:cs="Times New Roman"/>
          <w:b/>
          <w:szCs w:val="21"/>
        </w:rPr>
      </w:pPr>
      <w:r>
        <w:rPr>
          <w:rFonts w:hint="default" w:ascii="Times New Roman" w:hAnsi="Times New Roman" w:eastAsia="宋体" w:cs="Times New Roman"/>
          <w:b/>
          <w:sz w:val="36"/>
          <w:szCs w:val="36"/>
        </w:rPr>
        <w:t>南通大学生命科学学院·海洋学院</w:t>
      </w:r>
      <w:bookmarkStart w:id="0" w:name="_GoBack"/>
      <w:r>
        <w:rPr>
          <w:rFonts w:hint="default" w:ascii="Times New Roman" w:hAnsi="Times New Roman" w:eastAsia="宋体" w:cs="Times New Roman"/>
          <w:b/>
          <w:sz w:val="36"/>
          <w:szCs w:val="36"/>
          <w:lang w:val="en-US" w:eastAsia="zh-CN"/>
        </w:rPr>
        <w:t>2019级全日制普通</w:t>
      </w:r>
      <w:bookmarkEnd w:id="0"/>
      <w:r>
        <w:rPr>
          <w:rFonts w:hint="default" w:ascii="Times New Roman" w:hAnsi="Times New Roman" w:eastAsia="宋体" w:cs="Times New Roman"/>
          <w:b/>
          <w:sz w:val="36"/>
          <w:szCs w:val="36"/>
          <w:lang w:val="en-US" w:eastAsia="zh-CN"/>
        </w:rPr>
        <w:t>本科生</w:t>
      </w:r>
      <w:r>
        <w:rPr>
          <w:rFonts w:hint="default" w:ascii="Times New Roman" w:hAnsi="Times New Roman" w:eastAsia="宋体" w:cs="Times New Roman"/>
          <w:b/>
          <w:sz w:val="36"/>
          <w:szCs w:val="36"/>
        </w:rPr>
        <w:t>转专业方案</w:t>
      </w:r>
    </w:p>
    <w:p>
      <w:pPr>
        <w:spacing w:line="56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根据教育部《普通高等学校学生管理规定》、《江苏省教育厅关于加强普通高等学校学生转专业工作管理的指导意见》、《南通大学全日制普通本科学生学籍管理规定》、《南通大学全日制普通本科学生转专业实施办法》等有关文件精神和学院的办学条件，经学院党政联席会议研究并制定</w:t>
      </w:r>
      <w:r>
        <w:rPr>
          <w:rFonts w:hint="eastAsia" w:ascii="Times New Roman" w:hAnsi="Times New Roman" w:eastAsia="仿宋" w:cs="Times New Roman"/>
          <w:sz w:val="32"/>
          <w:szCs w:val="32"/>
        </w:rPr>
        <w:t>2019-2020-2学期</w:t>
      </w:r>
      <w:r>
        <w:rPr>
          <w:rFonts w:ascii="Times New Roman" w:hAnsi="Times New Roman" w:eastAsia="仿宋" w:cs="Times New Roman"/>
          <w:sz w:val="32"/>
          <w:szCs w:val="32"/>
        </w:rPr>
        <w:t>2019级全日制</w:t>
      </w:r>
      <w:r>
        <w:rPr>
          <w:rFonts w:hint="eastAsia" w:ascii="Times New Roman" w:hAnsi="Times New Roman" w:eastAsia="仿宋" w:cs="Times New Roman"/>
          <w:sz w:val="32"/>
          <w:szCs w:val="32"/>
        </w:rPr>
        <w:t>普通</w:t>
      </w:r>
      <w:r>
        <w:rPr>
          <w:rFonts w:ascii="Times New Roman" w:hAnsi="Times New Roman" w:eastAsia="仿宋" w:cs="Times New Roman"/>
          <w:sz w:val="32"/>
          <w:szCs w:val="32"/>
        </w:rPr>
        <w:t>本科学生转专业转入考核方案。</w:t>
      </w:r>
    </w:p>
    <w:p>
      <w:pPr>
        <w:pStyle w:val="9"/>
        <w:numPr>
          <w:ilvl w:val="0"/>
          <w:numId w:val="1"/>
        </w:numPr>
        <w:adjustRightInd w:val="0"/>
        <w:snapToGrid w:val="0"/>
        <w:spacing w:line="560" w:lineRule="exact"/>
        <w:ind w:left="1350" w:leftChars="300" w:firstLineChars="0"/>
        <w:contextualSpacing/>
        <w:rPr>
          <w:rFonts w:ascii="Times New Roman" w:hAnsi="Times New Roman" w:eastAsia="仿宋" w:cs="Times New Roman"/>
          <w:sz w:val="32"/>
          <w:szCs w:val="32"/>
        </w:rPr>
      </w:pPr>
      <w:r>
        <w:rPr>
          <w:rFonts w:ascii="Times New Roman" w:hAnsi="Times New Roman" w:eastAsia="仿宋" w:cs="Times New Roman"/>
          <w:sz w:val="32"/>
          <w:szCs w:val="32"/>
        </w:rPr>
        <w:t>报考要求</w:t>
      </w:r>
    </w:p>
    <w:p>
      <w:pPr>
        <w:spacing w:line="56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转入对象需符合通大教</w:t>
      </w:r>
      <w:r>
        <w:rPr>
          <w:rFonts w:hint="default" w:ascii="Times New Roman" w:hAnsi="Times New Roman" w:eastAsia="仿宋_GB2312" w:cs="Times New Roman"/>
          <w:sz w:val="32"/>
          <w:szCs w:val="32"/>
        </w:rPr>
        <w:t>〔2020〕</w:t>
      </w:r>
      <w:r>
        <w:rPr>
          <w:rFonts w:ascii="Times New Roman" w:hAnsi="Times New Roman" w:eastAsia="仿宋" w:cs="Times New Roman"/>
          <w:sz w:val="32"/>
          <w:szCs w:val="32"/>
        </w:rPr>
        <w:t>26号文《关于做好2019级全日制普通本科生转专业有关工作的通知》要求的相关规定。</w:t>
      </w:r>
    </w:p>
    <w:p>
      <w:pPr>
        <w:spacing w:line="56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具有下列情形之一者不具有转入资格：</w:t>
      </w:r>
    </w:p>
    <w:p>
      <w:pPr>
        <w:widowControl/>
        <w:spacing w:before="75" w:after="75" w:line="560" w:lineRule="exact"/>
        <w:ind w:firstLine="640"/>
        <w:jc w:val="left"/>
        <w:rPr>
          <w:rFonts w:ascii="Times New Roman" w:hAnsi="Times New Roman" w:eastAsia="仿宋" w:cs="Times New Roman"/>
          <w:sz w:val="32"/>
          <w:szCs w:val="32"/>
        </w:rPr>
      </w:pPr>
      <w:r>
        <w:rPr>
          <w:rFonts w:ascii="Times New Roman" w:hAnsi="Times New Roman" w:eastAsia="仿宋" w:cs="Times New Roman"/>
          <w:sz w:val="32"/>
          <w:szCs w:val="32"/>
        </w:rPr>
        <w:t>1．公共基础课课程（含当前学期）不及格的。</w:t>
      </w:r>
    </w:p>
    <w:p>
      <w:pPr>
        <w:widowControl/>
        <w:spacing w:before="75" w:after="75" w:line="560" w:lineRule="exact"/>
        <w:ind w:firstLine="640"/>
        <w:jc w:val="left"/>
        <w:rPr>
          <w:rFonts w:ascii="Times New Roman" w:hAnsi="Times New Roman" w:eastAsia="仿宋" w:cs="Times New Roman"/>
          <w:sz w:val="32"/>
          <w:szCs w:val="32"/>
        </w:rPr>
      </w:pPr>
      <w:r>
        <w:rPr>
          <w:rFonts w:ascii="Times New Roman" w:hAnsi="Times New Roman" w:eastAsia="仿宋" w:cs="Times New Roman"/>
          <w:sz w:val="32"/>
          <w:szCs w:val="32"/>
        </w:rPr>
        <w:t>2．在校期间</w:t>
      </w:r>
      <w:r>
        <w:rPr>
          <w:rFonts w:hint="eastAsia" w:ascii="Times New Roman" w:hAnsi="Times New Roman" w:eastAsia="仿宋" w:cs="Times New Roman"/>
          <w:sz w:val="32"/>
          <w:szCs w:val="32"/>
        </w:rPr>
        <w:t>有</w:t>
      </w:r>
      <w:r>
        <w:rPr>
          <w:rFonts w:ascii="Times New Roman" w:hAnsi="Times New Roman" w:eastAsia="仿宋" w:cs="Times New Roman"/>
          <w:sz w:val="32"/>
          <w:szCs w:val="32"/>
        </w:rPr>
        <w:t>记过及以上处分的。</w:t>
      </w:r>
    </w:p>
    <w:p>
      <w:pPr>
        <w:widowControl/>
        <w:spacing w:before="75" w:after="75" w:line="560" w:lineRule="exact"/>
        <w:ind w:firstLine="640"/>
        <w:jc w:val="left"/>
        <w:rPr>
          <w:rFonts w:ascii="Times New Roman" w:hAnsi="Times New Roman" w:eastAsia="仿宋" w:cs="Times New Roman"/>
          <w:sz w:val="32"/>
          <w:szCs w:val="32"/>
        </w:rPr>
      </w:pPr>
      <w:r>
        <w:rPr>
          <w:rFonts w:ascii="Times New Roman" w:hAnsi="Times New Roman" w:eastAsia="仿宋" w:cs="Times New Roman"/>
          <w:sz w:val="32"/>
          <w:szCs w:val="32"/>
        </w:rPr>
        <w:t>3．特殊招生形式录取的学生，以及有相关规定或者录取前有明确约定的学生。</w:t>
      </w:r>
    </w:p>
    <w:p>
      <w:pPr>
        <w:widowControl/>
        <w:spacing w:before="75" w:after="75" w:line="560" w:lineRule="exact"/>
        <w:ind w:firstLine="640"/>
        <w:jc w:val="left"/>
        <w:rPr>
          <w:rFonts w:ascii="Times New Roman" w:hAnsi="Times New Roman" w:eastAsia="仿宋" w:cs="Times New Roman"/>
          <w:sz w:val="32"/>
          <w:szCs w:val="32"/>
        </w:rPr>
      </w:pPr>
      <w:r>
        <w:rPr>
          <w:rFonts w:ascii="Times New Roman" w:hAnsi="Times New Roman" w:eastAsia="仿宋" w:cs="Times New Roman"/>
          <w:sz w:val="32"/>
          <w:szCs w:val="32"/>
        </w:rPr>
        <w:t>4．“专转本”等转段考核录取的学生。</w:t>
      </w:r>
    </w:p>
    <w:p>
      <w:pPr>
        <w:widowControl/>
        <w:spacing w:before="75" w:after="75" w:line="560" w:lineRule="exact"/>
        <w:ind w:firstLine="640"/>
        <w:jc w:val="left"/>
        <w:rPr>
          <w:rFonts w:ascii="Times New Roman" w:hAnsi="Times New Roman" w:eastAsia="仿宋" w:cs="Times New Roman"/>
          <w:sz w:val="32"/>
          <w:szCs w:val="32"/>
        </w:rPr>
      </w:pPr>
      <w:r>
        <w:rPr>
          <w:rFonts w:ascii="Times New Roman" w:hAnsi="Times New Roman" w:eastAsia="仿宋" w:cs="Times New Roman"/>
          <w:sz w:val="32"/>
          <w:szCs w:val="32"/>
        </w:rPr>
        <w:t>5. 在原专业如果修过《高等数学》、《无机及分析化学》、《有机化学》、《大学物理》等相应课程（含当前学期），成绩不及格的。</w:t>
      </w:r>
    </w:p>
    <w:p>
      <w:pPr>
        <w:widowControl/>
        <w:spacing w:before="75" w:after="75" w:line="560" w:lineRule="exact"/>
        <w:ind w:firstLine="640"/>
        <w:jc w:val="left"/>
        <w:rPr>
          <w:rFonts w:ascii="Times New Roman" w:hAnsi="Times New Roman" w:eastAsia="仿宋" w:cs="Times New Roman"/>
          <w:sz w:val="32"/>
          <w:szCs w:val="32"/>
        </w:rPr>
      </w:pPr>
      <w:r>
        <w:rPr>
          <w:rFonts w:ascii="Times New Roman" w:hAnsi="Times New Roman" w:eastAsia="仿宋" w:cs="Times New Roman"/>
          <w:sz w:val="32"/>
          <w:szCs w:val="32"/>
        </w:rPr>
        <w:t>6.</w:t>
      </w:r>
      <w:r>
        <w:rPr>
          <w:rFonts w:hint="eastAsia" w:ascii="Times New Roman" w:hAnsi="Times New Roman" w:eastAsia="仿宋" w:cs="Times New Roman"/>
          <w:sz w:val="32"/>
          <w:szCs w:val="32"/>
        </w:rPr>
        <w:t xml:space="preserve"> </w:t>
      </w:r>
      <w:r>
        <w:rPr>
          <w:rFonts w:ascii="Times New Roman" w:hAnsi="Times New Roman" w:eastAsia="仿宋" w:cs="Times New Roman"/>
          <w:sz w:val="32"/>
          <w:szCs w:val="32"/>
        </w:rPr>
        <w:t>高考时未选考《物理》的学生。</w:t>
      </w:r>
    </w:p>
    <w:p>
      <w:pPr>
        <w:pStyle w:val="9"/>
        <w:numPr>
          <w:ilvl w:val="0"/>
          <w:numId w:val="1"/>
        </w:numPr>
        <w:adjustRightInd w:val="0"/>
        <w:snapToGrid w:val="0"/>
        <w:spacing w:line="560" w:lineRule="exact"/>
        <w:ind w:left="1350" w:leftChars="300" w:firstLineChars="0"/>
        <w:rPr>
          <w:rFonts w:ascii="Times New Roman" w:hAnsi="Times New Roman" w:eastAsia="仿宋" w:cs="Times New Roman"/>
          <w:sz w:val="32"/>
          <w:szCs w:val="32"/>
        </w:rPr>
      </w:pPr>
      <w:r>
        <w:rPr>
          <w:rFonts w:ascii="Times New Roman" w:hAnsi="Times New Roman" w:eastAsia="仿宋" w:cs="Times New Roman"/>
          <w:sz w:val="32"/>
          <w:szCs w:val="32"/>
        </w:rPr>
        <w:t>考核方式</w:t>
      </w:r>
    </w:p>
    <w:p>
      <w:pPr>
        <w:adjustRightInd w:val="0"/>
        <w:snapToGrid w:val="0"/>
        <w:spacing w:line="560" w:lineRule="exact"/>
        <w:ind w:left="1350"/>
        <w:rPr>
          <w:rFonts w:ascii="Times New Roman" w:hAnsi="Times New Roman" w:eastAsia="仿宋" w:cs="Times New Roman"/>
          <w:sz w:val="32"/>
          <w:szCs w:val="32"/>
        </w:rPr>
      </w:pPr>
      <w:r>
        <w:rPr>
          <w:rFonts w:ascii="Times New Roman" w:hAnsi="Times New Roman" w:eastAsia="仿宋" w:cs="Times New Roman"/>
          <w:sz w:val="32"/>
          <w:szCs w:val="32"/>
        </w:rPr>
        <w:t>学院考核采用面试的方式。</w:t>
      </w:r>
    </w:p>
    <w:p>
      <w:pPr>
        <w:pStyle w:val="9"/>
        <w:widowControl/>
        <w:numPr>
          <w:ilvl w:val="0"/>
          <w:numId w:val="2"/>
        </w:numPr>
        <w:spacing w:before="75" w:after="75" w:line="560" w:lineRule="exact"/>
        <w:ind w:firstLineChars="0"/>
        <w:jc w:val="left"/>
        <w:rPr>
          <w:rFonts w:ascii="Times New Roman" w:hAnsi="Times New Roman" w:eastAsia="仿宋" w:cs="Times New Roman"/>
          <w:sz w:val="32"/>
          <w:szCs w:val="32"/>
        </w:rPr>
      </w:pPr>
      <w:r>
        <w:rPr>
          <w:rFonts w:ascii="Times New Roman" w:hAnsi="Times New Roman" w:eastAsia="仿宋" w:cs="Times New Roman"/>
          <w:sz w:val="32"/>
          <w:szCs w:val="32"/>
        </w:rPr>
        <w:t>如资格审核通过后一志愿报名人数小于等于该专业计划数，学生不需要参加学校和学院组织的考核，直接被录取；当二志愿报名人数超过剩余名额时，学生需参加学院组织的考核，学院择优录取。</w:t>
      </w:r>
    </w:p>
    <w:p>
      <w:pPr>
        <w:pStyle w:val="9"/>
        <w:widowControl/>
        <w:numPr>
          <w:ilvl w:val="0"/>
          <w:numId w:val="2"/>
        </w:numPr>
        <w:spacing w:before="75" w:after="75" w:line="560" w:lineRule="exact"/>
        <w:ind w:firstLineChars="0"/>
        <w:jc w:val="left"/>
        <w:rPr>
          <w:rFonts w:ascii="Times New Roman" w:hAnsi="Times New Roman" w:eastAsia="仿宋" w:cs="Times New Roman"/>
          <w:sz w:val="32"/>
          <w:szCs w:val="32"/>
        </w:rPr>
      </w:pPr>
      <w:r>
        <w:rPr>
          <w:rFonts w:ascii="Times New Roman" w:hAnsi="Times New Roman" w:eastAsia="仿宋" w:cs="Times New Roman"/>
          <w:sz w:val="32"/>
          <w:szCs w:val="32"/>
        </w:rPr>
        <w:t>如资格审核通过后一志愿报名人数大于计划数但小于等于计划数1.5倍，学生不需参加学校组织的英语考试，但需参加学院组织的考核。</w:t>
      </w:r>
    </w:p>
    <w:p>
      <w:pPr>
        <w:pStyle w:val="9"/>
        <w:widowControl/>
        <w:numPr>
          <w:ilvl w:val="0"/>
          <w:numId w:val="2"/>
        </w:numPr>
        <w:spacing w:before="75" w:after="75" w:line="560" w:lineRule="exact"/>
        <w:ind w:firstLineChars="0"/>
        <w:jc w:val="left"/>
        <w:rPr>
          <w:rFonts w:ascii="Times New Roman" w:hAnsi="Times New Roman" w:eastAsia="仿宋" w:cs="Times New Roman"/>
          <w:sz w:val="32"/>
          <w:szCs w:val="32"/>
        </w:rPr>
      </w:pPr>
      <w:r>
        <w:rPr>
          <w:rFonts w:ascii="Times New Roman" w:hAnsi="Times New Roman" w:eastAsia="仿宋" w:cs="Times New Roman"/>
          <w:sz w:val="32"/>
          <w:szCs w:val="32"/>
        </w:rPr>
        <w:t>如资格审核通过后一志愿报名人数大于计划数1.5倍，学生需参加学校组织的英语考试，成绩在计划数前1.5倍的学生参加学院组织的考核(末位同分者均参加)。录取时，学校组织的英语笔试成绩占比50%。</w:t>
      </w:r>
    </w:p>
    <w:p>
      <w:pPr>
        <w:pStyle w:val="9"/>
        <w:numPr>
          <w:ilvl w:val="0"/>
          <w:numId w:val="1"/>
        </w:numPr>
        <w:adjustRightInd w:val="0"/>
        <w:snapToGrid w:val="0"/>
        <w:spacing w:line="560" w:lineRule="exact"/>
        <w:ind w:left="1350" w:leftChars="300" w:firstLineChars="0"/>
        <w:rPr>
          <w:rFonts w:ascii="Times New Roman" w:hAnsi="Times New Roman" w:eastAsia="仿宋" w:cs="Times New Roman"/>
          <w:sz w:val="32"/>
          <w:szCs w:val="32"/>
        </w:rPr>
      </w:pPr>
      <w:r>
        <w:rPr>
          <w:rFonts w:ascii="Times New Roman" w:hAnsi="Times New Roman" w:eastAsia="仿宋" w:cs="Times New Roman"/>
          <w:sz w:val="32"/>
          <w:szCs w:val="32"/>
        </w:rPr>
        <w:t>考核内容及范围</w:t>
      </w:r>
    </w:p>
    <w:p>
      <w:pPr>
        <w:spacing w:line="56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面试</w:t>
      </w:r>
      <w:r>
        <w:rPr>
          <w:rFonts w:hint="eastAsia" w:ascii="Times New Roman" w:hAnsi="Times New Roman" w:eastAsia="仿宋" w:cs="Times New Roman"/>
          <w:sz w:val="32"/>
          <w:szCs w:val="32"/>
        </w:rPr>
        <w:t>考核</w:t>
      </w:r>
      <w:r>
        <w:rPr>
          <w:rFonts w:ascii="Times New Roman" w:hAnsi="Times New Roman" w:eastAsia="仿宋" w:cs="Times New Roman"/>
          <w:sz w:val="32"/>
          <w:szCs w:val="32"/>
        </w:rPr>
        <w:t>内容包括政治思想及学习态度（20分）、专业基础（40分）、语言表达与人际交往（10分）、英语基础（10分）综合分析能力（20分），合计100分。面试成绩不及格者不予录取。</w:t>
      </w:r>
    </w:p>
    <w:p>
      <w:pPr>
        <w:pStyle w:val="9"/>
        <w:numPr>
          <w:ilvl w:val="0"/>
          <w:numId w:val="1"/>
        </w:numPr>
        <w:adjustRightInd w:val="0"/>
        <w:snapToGrid w:val="0"/>
        <w:spacing w:line="560" w:lineRule="exact"/>
        <w:ind w:left="1350" w:leftChars="300" w:firstLineChars="0"/>
        <w:rPr>
          <w:rFonts w:ascii="Times New Roman" w:hAnsi="Times New Roman" w:eastAsia="仿宋" w:cs="Times New Roman"/>
          <w:sz w:val="32"/>
          <w:szCs w:val="32"/>
        </w:rPr>
      </w:pPr>
      <w:r>
        <w:rPr>
          <w:rFonts w:ascii="Times New Roman" w:hAnsi="Times New Roman" w:eastAsia="仿宋" w:cs="Times New Roman"/>
          <w:sz w:val="32"/>
          <w:szCs w:val="32"/>
        </w:rPr>
        <w:t>考核比例</w:t>
      </w:r>
    </w:p>
    <w:p>
      <w:pPr>
        <w:spacing w:line="56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不参加学校组织的英语笔试者，考核总评成绩=面试成绩。</w:t>
      </w:r>
    </w:p>
    <w:p>
      <w:pPr>
        <w:spacing w:line="56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参加学校组织的英语笔试者，考核总评成绩=面试成绩×50%+学校英语考试成绩×50%。</w:t>
      </w:r>
    </w:p>
    <w:p>
      <w:pPr>
        <w:spacing w:line="56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录取成绩遵循志愿优先的原则，优先从第一志愿中按考核总分由高到低排序确定拟转入学生名单，第一志愿未录满的情况下从第二志愿按考核总分从高到低依次递补，</w:t>
      </w:r>
      <w:r>
        <w:rPr>
          <w:rFonts w:hint="eastAsia" w:ascii="Times New Roman" w:hAnsi="Times New Roman" w:eastAsia="仿宋" w:cs="Times New Roman"/>
          <w:sz w:val="32"/>
          <w:szCs w:val="32"/>
        </w:rPr>
        <w:t>末位</w:t>
      </w:r>
      <w:r>
        <w:rPr>
          <w:rFonts w:ascii="Times New Roman" w:hAnsi="Times New Roman" w:eastAsia="仿宋" w:cs="Times New Roman"/>
          <w:sz w:val="32"/>
          <w:szCs w:val="32"/>
        </w:rPr>
        <w:t xml:space="preserve">同分者进行面试第二轮复试，依此确定转入名单。 </w:t>
      </w:r>
    </w:p>
    <w:p>
      <w:pPr>
        <w:pStyle w:val="9"/>
        <w:numPr>
          <w:ilvl w:val="0"/>
          <w:numId w:val="1"/>
        </w:numPr>
        <w:adjustRightInd w:val="0"/>
        <w:snapToGrid w:val="0"/>
        <w:spacing w:line="560" w:lineRule="exact"/>
        <w:ind w:left="1350" w:leftChars="300" w:firstLineChars="0"/>
        <w:rPr>
          <w:rFonts w:ascii="Times New Roman" w:hAnsi="Times New Roman" w:eastAsia="仿宋" w:cs="Times New Roman"/>
          <w:sz w:val="32"/>
          <w:szCs w:val="32"/>
        </w:rPr>
      </w:pPr>
      <w:r>
        <w:rPr>
          <w:rFonts w:ascii="Times New Roman" w:hAnsi="Times New Roman" w:eastAsia="仿宋" w:cs="Times New Roman"/>
          <w:sz w:val="32"/>
          <w:szCs w:val="32"/>
        </w:rPr>
        <w:t>考核专家组成及邀请方式</w:t>
      </w:r>
    </w:p>
    <w:p>
      <w:pPr>
        <w:spacing w:line="56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考核专家由学院相关领导、教学委员会代表及各专业教师代表组成，共9人。考核时间、地点确定后，由教学秘书以QQ、短信或电话的方式提前两天通知各位专家。</w:t>
      </w:r>
    </w:p>
    <w:p>
      <w:pPr>
        <w:pStyle w:val="9"/>
        <w:numPr>
          <w:ilvl w:val="0"/>
          <w:numId w:val="1"/>
        </w:numPr>
        <w:adjustRightInd w:val="0"/>
        <w:snapToGrid w:val="0"/>
        <w:spacing w:line="560" w:lineRule="exact"/>
        <w:ind w:left="1350" w:leftChars="300" w:firstLineChars="0"/>
        <w:rPr>
          <w:rFonts w:ascii="Times New Roman" w:hAnsi="Times New Roman" w:eastAsia="仿宋" w:cs="Times New Roman"/>
          <w:sz w:val="32"/>
          <w:szCs w:val="32"/>
        </w:rPr>
      </w:pPr>
      <w:r>
        <w:rPr>
          <w:rFonts w:ascii="Times New Roman" w:hAnsi="Times New Roman" w:eastAsia="仿宋" w:cs="Times New Roman"/>
          <w:sz w:val="32"/>
          <w:szCs w:val="32"/>
        </w:rPr>
        <w:t>考试组织及流程</w:t>
      </w:r>
    </w:p>
    <w:p>
      <w:pPr>
        <w:spacing w:line="56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面试时间地点确定后，由教学秘书以QQ、短信或电话的方式通知学生。进入面试的学生随机抽签确定面试顺序，根据顺序依次进场面试。考核专家根据学生回答问题的情况及表现进行打分，打分填入《面试评分表》</w:t>
      </w:r>
      <w:r>
        <w:rPr>
          <w:rFonts w:hint="eastAsia" w:ascii="Times New Roman" w:hAnsi="Times New Roman" w:eastAsia="仿宋" w:cs="Times New Roman"/>
          <w:sz w:val="32"/>
          <w:szCs w:val="32"/>
        </w:rPr>
        <w:t>（评分</w:t>
      </w:r>
      <w:r>
        <w:rPr>
          <w:rFonts w:ascii="Times New Roman" w:hAnsi="Times New Roman" w:eastAsia="仿宋" w:cs="Times New Roman"/>
          <w:sz w:val="32"/>
          <w:szCs w:val="32"/>
        </w:rPr>
        <w:t>保留整数</w:t>
      </w:r>
      <w:r>
        <w:rPr>
          <w:rFonts w:hint="eastAsia" w:ascii="Times New Roman" w:hAnsi="Times New Roman" w:eastAsia="仿宋" w:cs="Times New Roman"/>
          <w:sz w:val="32"/>
          <w:szCs w:val="32"/>
        </w:rPr>
        <w:t>）。</w:t>
      </w:r>
      <w:r>
        <w:rPr>
          <w:rFonts w:ascii="Times New Roman" w:hAnsi="Times New Roman" w:eastAsia="仿宋" w:cs="Times New Roman"/>
          <w:sz w:val="32"/>
          <w:szCs w:val="32"/>
        </w:rPr>
        <w:t>面试考核总分为专家打分的平均</w:t>
      </w:r>
      <w:r>
        <w:rPr>
          <w:rFonts w:hint="eastAsia" w:ascii="Times New Roman" w:hAnsi="Times New Roman" w:eastAsia="仿宋" w:cs="Times New Roman"/>
          <w:sz w:val="32"/>
          <w:szCs w:val="32"/>
        </w:rPr>
        <w:t>分（</w:t>
      </w:r>
      <w:r>
        <w:rPr>
          <w:rFonts w:ascii="Times New Roman" w:hAnsi="Times New Roman" w:eastAsia="仿宋" w:cs="Times New Roman"/>
          <w:sz w:val="32"/>
          <w:szCs w:val="32"/>
        </w:rPr>
        <w:t>保留整数</w:t>
      </w:r>
      <w:r>
        <w:rPr>
          <w:rFonts w:hint="eastAsia" w:ascii="Times New Roman" w:hAnsi="Times New Roman" w:eastAsia="仿宋" w:cs="Times New Roman"/>
          <w:sz w:val="32"/>
          <w:szCs w:val="32"/>
        </w:rPr>
        <w:t>，四舍五入）</w:t>
      </w:r>
      <w:r>
        <w:rPr>
          <w:rFonts w:ascii="Times New Roman" w:hAnsi="Times New Roman" w:eastAsia="仿宋" w:cs="Times New Roman"/>
          <w:sz w:val="32"/>
          <w:szCs w:val="32"/>
        </w:rPr>
        <w:t>，由教学秘书填入《面试评分成绩汇总表》。</w:t>
      </w:r>
    </w:p>
    <w:p>
      <w:pPr>
        <w:spacing w:line="56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考核结束后，由教学秘书根据面试成绩</w:t>
      </w:r>
      <w:r>
        <w:rPr>
          <w:rFonts w:hint="eastAsia" w:ascii="Times New Roman" w:hAnsi="Times New Roman" w:eastAsia="仿宋" w:cs="Times New Roman"/>
          <w:sz w:val="32"/>
          <w:szCs w:val="32"/>
        </w:rPr>
        <w:t>以及学校英语考试成绩</w:t>
      </w:r>
      <w:r>
        <w:rPr>
          <w:rFonts w:ascii="Times New Roman" w:hAnsi="Times New Roman" w:eastAsia="仿宋" w:cs="Times New Roman"/>
          <w:sz w:val="32"/>
          <w:szCs w:val="32"/>
        </w:rPr>
        <w:t>计算出考核总评成绩（保留两位小数），记入《转专业考核总评成绩表》。</w:t>
      </w:r>
    </w:p>
    <w:p>
      <w:pPr>
        <w:pStyle w:val="9"/>
        <w:numPr>
          <w:ilvl w:val="0"/>
          <w:numId w:val="1"/>
        </w:numPr>
        <w:adjustRightInd w:val="0"/>
        <w:snapToGrid w:val="0"/>
        <w:spacing w:line="560" w:lineRule="exact"/>
        <w:ind w:left="1350" w:leftChars="300" w:firstLineChars="0"/>
        <w:rPr>
          <w:rFonts w:ascii="Times New Roman" w:hAnsi="Times New Roman" w:eastAsia="仿宋" w:cs="Times New Roman"/>
          <w:sz w:val="32"/>
          <w:szCs w:val="32"/>
        </w:rPr>
      </w:pPr>
      <w:r>
        <w:rPr>
          <w:rFonts w:ascii="Times New Roman" w:hAnsi="Times New Roman" w:eastAsia="仿宋" w:cs="Times New Roman"/>
          <w:sz w:val="32"/>
          <w:szCs w:val="32"/>
        </w:rPr>
        <w:t>转入人数控制如下：</w:t>
      </w:r>
    </w:p>
    <w:tbl>
      <w:tblPr>
        <w:tblStyle w:val="6"/>
        <w:tblW w:w="8327" w:type="dxa"/>
        <w:jc w:val="center"/>
        <w:tblInd w:w="0" w:type="dxa"/>
        <w:tblLayout w:type="fixed"/>
        <w:tblCellMar>
          <w:top w:w="15" w:type="dxa"/>
          <w:left w:w="108" w:type="dxa"/>
          <w:bottom w:w="15" w:type="dxa"/>
          <w:right w:w="108" w:type="dxa"/>
        </w:tblCellMar>
      </w:tblPr>
      <w:tblGrid>
        <w:gridCol w:w="1615"/>
        <w:gridCol w:w="1940"/>
        <w:gridCol w:w="2504"/>
        <w:gridCol w:w="2268"/>
      </w:tblGrid>
      <w:tr>
        <w:tblPrEx>
          <w:tblLayout w:type="fixed"/>
          <w:tblCellMar>
            <w:top w:w="15" w:type="dxa"/>
            <w:left w:w="108" w:type="dxa"/>
            <w:bottom w:w="15" w:type="dxa"/>
            <w:right w:w="108" w:type="dxa"/>
          </w:tblCellMar>
        </w:tblPrEx>
        <w:trPr>
          <w:trHeight w:val="340" w:hRule="atLeast"/>
          <w:jc w:val="center"/>
        </w:trPr>
        <w:tc>
          <w:tcPr>
            <w:tcW w:w="1615" w:type="dxa"/>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rPr>
                <w:rFonts w:ascii="Times New Roman" w:hAnsi="Times New Roman" w:eastAsia="仿宋" w:cs="Times New Roman"/>
                <w:color w:val="000000"/>
                <w:kern w:val="0"/>
                <w:sz w:val="28"/>
                <w:szCs w:val="28"/>
              </w:rPr>
            </w:pPr>
            <w:r>
              <w:rPr>
                <w:rFonts w:ascii="Times New Roman" w:hAnsi="Times New Roman" w:eastAsia="仿宋" w:cs="Times New Roman"/>
                <w:color w:val="000000"/>
                <w:kern w:val="0"/>
                <w:sz w:val="28"/>
                <w:szCs w:val="28"/>
              </w:rPr>
              <w:t>年级</w:t>
            </w:r>
          </w:p>
        </w:tc>
        <w:tc>
          <w:tcPr>
            <w:tcW w:w="1940" w:type="dxa"/>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rPr>
                <w:rFonts w:ascii="Times New Roman" w:hAnsi="Times New Roman" w:eastAsia="仿宋" w:cs="Times New Roman"/>
                <w:color w:val="000000"/>
                <w:kern w:val="0"/>
                <w:sz w:val="28"/>
                <w:szCs w:val="28"/>
              </w:rPr>
            </w:pPr>
            <w:r>
              <w:rPr>
                <w:rFonts w:ascii="Times New Roman" w:hAnsi="Times New Roman" w:eastAsia="仿宋" w:cs="Times New Roman"/>
                <w:color w:val="000000"/>
                <w:kern w:val="0"/>
                <w:sz w:val="28"/>
                <w:szCs w:val="28"/>
              </w:rPr>
              <w:t>专业</w:t>
            </w:r>
          </w:p>
        </w:tc>
        <w:tc>
          <w:tcPr>
            <w:tcW w:w="2504"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ascii="Times New Roman" w:hAnsi="Times New Roman" w:eastAsia="仿宋" w:cs="Times New Roman"/>
                <w:color w:val="000000"/>
                <w:kern w:val="0"/>
                <w:sz w:val="28"/>
                <w:szCs w:val="28"/>
              </w:rPr>
            </w:pPr>
            <w:r>
              <w:rPr>
                <w:rFonts w:ascii="Times New Roman" w:hAnsi="Times New Roman" w:eastAsia="仿宋" w:cs="Times New Roman"/>
                <w:color w:val="000000"/>
                <w:kern w:val="0"/>
                <w:sz w:val="28"/>
                <w:szCs w:val="28"/>
              </w:rPr>
              <w:t>现有（计划）人数</w:t>
            </w:r>
          </w:p>
        </w:tc>
        <w:tc>
          <w:tcPr>
            <w:tcW w:w="2268" w:type="dxa"/>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rPr>
                <w:rFonts w:ascii="Times New Roman" w:hAnsi="Times New Roman" w:eastAsia="仿宋" w:cs="Times New Roman"/>
                <w:color w:val="000000"/>
                <w:kern w:val="0"/>
                <w:sz w:val="28"/>
                <w:szCs w:val="28"/>
              </w:rPr>
            </w:pPr>
            <w:r>
              <w:rPr>
                <w:rFonts w:ascii="Times New Roman" w:hAnsi="Times New Roman" w:eastAsia="仿宋" w:cs="Times New Roman"/>
                <w:color w:val="000000"/>
                <w:kern w:val="0"/>
                <w:sz w:val="28"/>
                <w:szCs w:val="28"/>
              </w:rPr>
              <w:t>允许转入人数</w:t>
            </w:r>
          </w:p>
        </w:tc>
      </w:tr>
      <w:tr>
        <w:tblPrEx>
          <w:tblLayout w:type="fixed"/>
          <w:tblCellMar>
            <w:top w:w="15" w:type="dxa"/>
            <w:left w:w="108" w:type="dxa"/>
            <w:bottom w:w="15" w:type="dxa"/>
            <w:right w:w="108" w:type="dxa"/>
          </w:tblCellMar>
        </w:tblPrEx>
        <w:trPr>
          <w:trHeight w:val="340" w:hRule="atLeast"/>
          <w:jc w:val="center"/>
        </w:trPr>
        <w:tc>
          <w:tcPr>
            <w:tcW w:w="1615" w:type="dxa"/>
            <w:vMerge w:val="restart"/>
            <w:tcBorders>
              <w:top w:val="single" w:color="auto" w:sz="4" w:space="0"/>
              <w:left w:val="single" w:color="auto" w:sz="4" w:space="0"/>
              <w:right w:val="single" w:color="auto" w:sz="4" w:space="0"/>
            </w:tcBorders>
            <w:vAlign w:val="center"/>
          </w:tcPr>
          <w:p>
            <w:pPr>
              <w:widowControl/>
              <w:spacing w:line="560" w:lineRule="exact"/>
              <w:jc w:val="center"/>
              <w:rPr>
                <w:rFonts w:ascii="Times New Roman" w:hAnsi="Times New Roman" w:eastAsia="仿宋" w:cs="Times New Roman"/>
                <w:color w:val="000000"/>
                <w:kern w:val="0"/>
                <w:sz w:val="28"/>
                <w:szCs w:val="28"/>
              </w:rPr>
            </w:pPr>
            <w:r>
              <w:rPr>
                <w:rFonts w:ascii="Times New Roman" w:hAnsi="Times New Roman" w:eastAsia="仿宋" w:cs="Times New Roman"/>
                <w:color w:val="000000"/>
                <w:kern w:val="0"/>
                <w:sz w:val="28"/>
                <w:szCs w:val="28"/>
              </w:rPr>
              <w:t>2019级</w:t>
            </w:r>
          </w:p>
        </w:tc>
        <w:tc>
          <w:tcPr>
            <w:tcW w:w="1940" w:type="dxa"/>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rPr>
                <w:rFonts w:ascii="Times New Roman" w:hAnsi="Times New Roman" w:eastAsia="仿宋" w:cs="Times New Roman"/>
                <w:color w:val="000000"/>
                <w:kern w:val="0"/>
                <w:sz w:val="28"/>
                <w:szCs w:val="28"/>
              </w:rPr>
            </w:pPr>
            <w:r>
              <w:rPr>
                <w:rFonts w:ascii="Times New Roman" w:hAnsi="Times New Roman" w:eastAsia="仿宋" w:cs="Times New Roman"/>
                <w:color w:val="000000"/>
                <w:kern w:val="0"/>
                <w:sz w:val="28"/>
                <w:szCs w:val="28"/>
              </w:rPr>
              <w:t>生物技术</w:t>
            </w:r>
          </w:p>
        </w:tc>
        <w:tc>
          <w:tcPr>
            <w:tcW w:w="2504"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ascii="Times New Roman" w:hAnsi="Times New Roman" w:eastAsia="仿宋" w:cs="Times New Roman"/>
                <w:color w:val="000000"/>
                <w:kern w:val="0"/>
                <w:sz w:val="28"/>
                <w:szCs w:val="28"/>
              </w:rPr>
            </w:pPr>
            <w:r>
              <w:rPr>
                <w:rFonts w:ascii="Times New Roman" w:hAnsi="Times New Roman" w:eastAsia="仿宋" w:cs="Times New Roman"/>
                <w:color w:val="000000"/>
                <w:kern w:val="0"/>
                <w:sz w:val="28"/>
                <w:szCs w:val="28"/>
              </w:rPr>
              <w:t>78</w:t>
            </w:r>
          </w:p>
        </w:tc>
        <w:tc>
          <w:tcPr>
            <w:tcW w:w="2268" w:type="dxa"/>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rPr>
                <w:rFonts w:ascii="Times New Roman" w:hAnsi="Times New Roman" w:eastAsia="仿宋" w:cs="Times New Roman"/>
                <w:color w:val="000000"/>
                <w:kern w:val="0"/>
                <w:sz w:val="28"/>
                <w:szCs w:val="28"/>
              </w:rPr>
            </w:pPr>
            <w:r>
              <w:rPr>
                <w:rFonts w:ascii="Times New Roman" w:hAnsi="Times New Roman" w:eastAsia="仿宋" w:cs="Times New Roman"/>
                <w:color w:val="000000"/>
                <w:kern w:val="0"/>
                <w:sz w:val="28"/>
                <w:szCs w:val="28"/>
              </w:rPr>
              <w:t>12</w:t>
            </w:r>
          </w:p>
        </w:tc>
      </w:tr>
      <w:tr>
        <w:tblPrEx>
          <w:tblLayout w:type="fixed"/>
          <w:tblCellMar>
            <w:top w:w="15" w:type="dxa"/>
            <w:left w:w="108" w:type="dxa"/>
            <w:bottom w:w="15" w:type="dxa"/>
            <w:right w:w="108" w:type="dxa"/>
          </w:tblCellMar>
        </w:tblPrEx>
        <w:trPr>
          <w:trHeight w:val="340" w:hRule="atLeast"/>
          <w:jc w:val="center"/>
        </w:trPr>
        <w:tc>
          <w:tcPr>
            <w:tcW w:w="1615" w:type="dxa"/>
            <w:vMerge w:val="continue"/>
            <w:tcBorders>
              <w:left w:val="single" w:color="auto" w:sz="4" w:space="0"/>
              <w:right w:val="single" w:color="auto" w:sz="4" w:space="0"/>
            </w:tcBorders>
            <w:vAlign w:val="center"/>
          </w:tcPr>
          <w:p>
            <w:pPr>
              <w:widowControl/>
              <w:spacing w:line="560" w:lineRule="exact"/>
              <w:jc w:val="center"/>
              <w:rPr>
                <w:rFonts w:ascii="Times New Roman" w:hAnsi="Times New Roman" w:eastAsia="仿宋" w:cs="Times New Roman"/>
                <w:color w:val="000000"/>
                <w:kern w:val="0"/>
                <w:sz w:val="28"/>
                <w:szCs w:val="28"/>
              </w:rPr>
            </w:pPr>
          </w:p>
        </w:tc>
        <w:tc>
          <w:tcPr>
            <w:tcW w:w="1940" w:type="dxa"/>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rPr>
                <w:rFonts w:ascii="Times New Roman" w:hAnsi="Times New Roman" w:eastAsia="仿宋" w:cs="Times New Roman"/>
                <w:color w:val="000000"/>
                <w:kern w:val="0"/>
                <w:sz w:val="28"/>
                <w:szCs w:val="28"/>
              </w:rPr>
            </w:pPr>
            <w:r>
              <w:rPr>
                <w:rFonts w:ascii="Times New Roman" w:hAnsi="Times New Roman" w:eastAsia="仿宋" w:cs="Times New Roman"/>
                <w:color w:val="000000"/>
                <w:kern w:val="0"/>
                <w:sz w:val="28"/>
                <w:szCs w:val="28"/>
              </w:rPr>
              <w:t>生物师范</w:t>
            </w:r>
          </w:p>
        </w:tc>
        <w:tc>
          <w:tcPr>
            <w:tcW w:w="2504"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ascii="Times New Roman" w:hAnsi="Times New Roman" w:eastAsia="仿宋" w:cs="Times New Roman"/>
                <w:color w:val="000000"/>
                <w:kern w:val="0"/>
                <w:sz w:val="28"/>
                <w:szCs w:val="28"/>
              </w:rPr>
            </w:pPr>
            <w:r>
              <w:rPr>
                <w:rFonts w:ascii="Times New Roman" w:hAnsi="Times New Roman" w:eastAsia="仿宋" w:cs="Times New Roman"/>
                <w:color w:val="000000"/>
                <w:kern w:val="0"/>
                <w:sz w:val="28"/>
                <w:szCs w:val="28"/>
              </w:rPr>
              <w:t>87</w:t>
            </w:r>
          </w:p>
        </w:tc>
        <w:tc>
          <w:tcPr>
            <w:tcW w:w="2268" w:type="dxa"/>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rPr>
                <w:rFonts w:ascii="Times New Roman" w:hAnsi="Times New Roman" w:eastAsia="仿宋" w:cs="Times New Roman"/>
                <w:color w:val="000000"/>
                <w:kern w:val="0"/>
                <w:sz w:val="28"/>
                <w:szCs w:val="28"/>
              </w:rPr>
            </w:pPr>
            <w:r>
              <w:rPr>
                <w:rFonts w:hint="eastAsia" w:ascii="Times New Roman" w:hAnsi="Times New Roman" w:eastAsia="仿宋" w:cs="Times New Roman"/>
                <w:color w:val="000000"/>
                <w:kern w:val="0"/>
                <w:sz w:val="28"/>
                <w:szCs w:val="28"/>
              </w:rPr>
              <w:t>1</w:t>
            </w:r>
            <w:r>
              <w:rPr>
                <w:rFonts w:ascii="Times New Roman" w:hAnsi="Times New Roman" w:eastAsia="仿宋" w:cs="Times New Roman"/>
                <w:color w:val="000000"/>
                <w:kern w:val="0"/>
                <w:sz w:val="28"/>
                <w:szCs w:val="28"/>
              </w:rPr>
              <w:t>3</w:t>
            </w:r>
          </w:p>
        </w:tc>
      </w:tr>
      <w:tr>
        <w:tblPrEx>
          <w:tblLayout w:type="fixed"/>
          <w:tblCellMar>
            <w:top w:w="15" w:type="dxa"/>
            <w:left w:w="108" w:type="dxa"/>
            <w:bottom w:w="15" w:type="dxa"/>
            <w:right w:w="108" w:type="dxa"/>
          </w:tblCellMar>
        </w:tblPrEx>
        <w:trPr>
          <w:trHeight w:val="340" w:hRule="atLeast"/>
          <w:jc w:val="center"/>
        </w:trPr>
        <w:tc>
          <w:tcPr>
            <w:tcW w:w="1615" w:type="dxa"/>
            <w:vMerge w:val="continue"/>
            <w:tcBorders>
              <w:left w:val="single" w:color="auto" w:sz="4" w:space="0"/>
              <w:bottom w:val="single" w:color="auto" w:sz="4" w:space="0"/>
              <w:right w:val="single" w:color="auto" w:sz="4" w:space="0"/>
            </w:tcBorders>
            <w:vAlign w:val="center"/>
          </w:tcPr>
          <w:p>
            <w:pPr>
              <w:widowControl/>
              <w:spacing w:line="560" w:lineRule="exact"/>
              <w:jc w:val="center"/>
              <w:rPr>
                <w:rFonts w:ascii="Times New Roman" w:hAnsi="Times New Roman" w:eastAsia="仿宋" w:cs="Times New Roman"/>
                <w:color w:val="000000"/>
                <w:kern w:val="0"/>
                <w:sz w:val="28"/>
                <w:szCs w:val="28"/>
              </w:rPr>
            </w:pPr>
          </w:p>
        </w:tc>
        <w:tc>
          <w:tcPr>
            <w:tcW w:w="1940" w:type="dxa"/>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rPr>
                <w:rFonts w:ascii="Times New Roman" w:hAnsi="Times New Roman" w:eastAsia="仿宋" w:cs="Times New Roman"/>
                <w:color w:val="000000"/>
                <w:kern w:val="0"/>
                <w:sz w:val="28"/>
                <w:szCs w:val="28"/>
              </w:rPr>
            </w:pPr>
            <w:r>
              <w:rPr>
                <w:rFonts w:ascii="Times New Roman" w:hAnsi="Times New Roman" w:eastAsia="仿宋" w:cs="Times New Roman"/>
                <w:color w:val="000000"/>
                <w:kern w:val="0"/>
                <w:sz w:val="28"/>
                <w:szCs w:val="28"/>
              </w:rPr>
              <w:t>海洋技术</w:t>
            </w:r>
          </w:p>
        </w:tc>
        <w:tc>
          <w:tcPr>
            <w:tcW w:w="2504"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ascii="Times New Roman" w:hAnsi="Times New Roman" w:eastAsia="仿宋" w:cs="Times New Roman"/>
                <w:color w:val="000000"/>
                <w:kern w:val="0"/>
                <w:sz w:val="28"/>
                <w:szCs w:val="28"/>
              </w:rPr>
            </w:pPr>
            <w:r>
              <w:rPr>
                <w:rFonts w:ascii="Times New Roman" w:hAnsi="Times New Roman" w:eastAsia="仿宋" w:cs="Times New Roman"/>
                <w:color w:val="000000"/>
                <w:kern w:val="0"/>
                <w:sz w:val="28"/>
                <w:szCs w:val="28"/>
              </w:rPr>
              <w:t>51</w:t>
            </w:r>
          </w:p>
        </w:tc>
        <w:tc>
          <w:tcPr>
            <w:tcW w:w="2268" w:type="dxa"/>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rPr>
                <w:rFonts w:ascii="Times New Roman" w:hAnsi="Times New Roman" w:eastAsia="仿宋" w:cs="Times New Roman"/>
                <w:color w:val="000000"/>
                <w:kern w:val="0"/>
                <w:sz w:val="28"/>
                <w:szCs w:val="28"/>
              </w:rPr>
            </w:pPr>
            <w:r>
              <w:rPr>
                <w:rFonts w:ascii="Times New Roman" w:hAnsi="Times New Roman" w:eastAsia="仿宋" w:cs="Times New Roman"/>
                <w:color w:val="000000"/>
                <w:kern w:val="0"/>
                <w:sz w:val="28"/>
                <w:szCs w:val="28"/>
              </w:rPr>
              <w:t>39</w:t>
            </w:r>
          </w:p>
        </w:tc>
      </w:tr>
      <w:tr>
        <w:tblPrEx>
          <w:tblLayout w:type="fixed"/>
          <w:tblCellMar>
            <w:top w:w="15" w:type="dxa"/>
            <w:left w:w="108" w:type="dxa"/>
            <w:bottom w:w="15" w:type="dxa"/>
            <w:right w:w="108" w:type="dxa"/>
          </w:tblCellMar>
        </w:tblPrEx>
        <w:trPr>
          <w:trHeight w:val="340" w:hRule="atLeast"/>
          <w:jc w:val="center"/>
        </w:trPr>
        <w:tc>
          <w:tcPr>
            <w:tcW w:w="161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rPr>
                <w:rFonts w:ascii="Times New Roman" w:hAnsi="Times New Roman" w:eastAsia="仿宋" w:cs="Times New Roman"/>
                <w:color w:val="000000"/>
                <w:kern w:val="0"/>
                <w:sz w:val="28"/>
                <w:szCs w:val="28"/>
              </w:rPr>
            </w:pPr>
            <w:r>
              <w:rPr>
                <w:rFonts w:ascii="Times New Roman" w:hAnsi="Times New Roman" w:eastAsia="仿宋" w:cs="Times New Roman"/>
                <w:color w:val="000000"/>
                <w:kern w:val="0"/>
                <w:sz w:val="28"/>
                <w:szCs w:val="28"/>
              </w:rPr>
              <w:t>2020级</w:t>
            </w:r>
          </w:p>
        </w:tc>
        <w:tc>
          <w:tcPr>
            <w:tcW w:w="1940" w:type="dxa"/>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rPr>
                <w:rFonts w:ascii="Times New Roman" w:hAnsi="Times New Roman" w:eastAsia="仿宋" w:cs="Times New Roman"/>
                <w:color w:val="000000"/>
                <w:kern w:val="0"/>
                <w:sz w:val="28"/>
                <w:szCs w:val="28"/>
              </w:rPr>
            </w:pPr>
            <w:r>
              <w:rPr>
                <w:rFonts w:ascii="Times New Roman" w:hAnsi="Times New Roman" w:eastAsia="仿宋" w:cs="Times New Roman"/>
                <w:color w:val="000000"/>
                <w:kern w:val="0"/>
                <w:sz w:val="28"/>
                <w:szCs w:val="28"/>
              </w:rPr>
              <w:t>生物技术</w:t>
            </w:r>
          </w:p>
        </w:tc>
        <w:tc>
          <w:tcPr>
            <w:tcW w:w="2504"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ascii="Times New Roman" w:hAnsi="Times New Roman" w:eastAsia="仿宋" w:cs="Times New Roman"/>
                <w:color w:val="000000"/>
                <w:kern w:val="0"/>
                <w:sz w:val="28"/>
                <w:szCs w:val="28"/>
              </w:rPr>
            </w:pPr>
            <w:r>
              <w:rPr>
                <w:rFonts w:hint="eastAsia" w:ascii="Times New Roman" w:hAnsi="Times New Roman" w:eastAsia="仿宋" w:cs="Times New Roman"/>
                <w:color w:val="000000"/>
                <w:kern w:val="0"/>
                <w:sz w:val="28"/>
                <w:szCs w:val="28"/>
              </w:rPr>
              <w:t>120</w:t>
            </w:r>
          </w:p>
        </w:tc>
        <w:tc>
          <w:tcPr>
            <w:tcW w:w="2268" w:type="dxa"/>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rPr>
                <w:rFonts w:ascii="Times New Roman" w:hAnsi="Times New Roman" w:eastAsia="仿宋" w:cs="Times New Roman"/>
                <w:color w:val="000000"/>
                <w:kern w:val="0"/>
                <w:sz w:val="28"/>
                <w:szCs w:val="28"/>
              </w:rPr>
            </w:pPr>
            <w:r>
              <w:rPr>
                <w:rFonts w:hint="eastAsia" w:ascii="Times New Roman" w:hAnsi="Times New Roman" w:eastAsia="仿宋" w:cs="Times New Roman"/>
                <w:color w:val="000000"/>
                <w:kern w:val="0"/>
                <w:sz w:val="28"/>
                <w:szCs w:val="28"/>
              </w:rPr>
              <w:t>6</w:t>
            </w:r>
          </w:p>
        </w:tc>
      </w:tr>
      <w:tr>
        <w:tblPrEx>
          <w:tblLayout w:type="fixed"/>
          <w:tblCellMar>
            <w:top w:w="15" w:type="dxa"/>
            <w:left w:w="108" w:type="dxa"/>
            <w:bottom w:w="15" w:type="dxa"/>
            <w:right w:w="108" w:type="dxa"/>
          </w:tblCellMar>
        </w:tblPrEx>
        <w:trPr>
          <w:trHeight w:val="340" w:hRule="atLeast"/>
          <w:jc w:val="center"/>
        </w:trPr>
        <w:tc>
          <w:tcPr>
            <w:tcW w:w="161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rPr>
                <w:rFonts w:ascii="Times New Roman" w:hAnsi="Times New Roman" w:eastAsia="仿宋" w:cs="Times New Roman"/>
                <w:color w:val="000000"/>
                <w:kern w:val="0"/>
                <w:sz w:val="28"/>
                <w:szCs w:val="28"/>
              </w:rPr>
            </w:pPr>
          </w:p>
        </w:tc>
        <w:tc>
          <w:tcPr>
            <w:tcW w:w="1940" w:type="dxa"/>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rPr>
                <w:rFonts w:ascii="Times New Roman" w:hAnsi="Times New Roman" w:eastAsia="仿宋" w:cs="Times New Roman"/>
                <w:color w:val="000000"/>
                <w:kern w:val="0"/>
                <w:sz w:val="28"/>
                <w:szCs w:val="28"/>
              </w:rPr>
            </w:pPr>
            <w:r>
              <w:rPr>
                <w:rFonts w:ascii="Times New Roman" w:hAnsi="Times New Roman" w:eastAsia="仿宋" w:cs="Times New Roman"/>
                <w:color w:val="000000"/>
                <w:kern w:val="0"/>
                <w:sz w:val="28"/>
                <w:szCs w:val="28"/>
              </w:rPr>
              <w:t>生物师范</w:t>
            </w:r>
          </w:p>
        </w:tc>
        <w:tc>
          <w:tcPr>
            <w:tcW w:w="2504"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ascii="Times New Roman" w:hAnsi="Times New Roman" w:eastAsia="仿宋" w:cs="Times New Roman"/>
                <w:color w:val="000000"/>
                <w:kern w:val="0"/>
                <w:sz w:val="28"/>
                <w:szCs w:val="28"/>
              </w:rPr>
            </w:pPr>
            <w:r>
              <w:rPr>
                <w:rFonts w:hint="eastAsia" w:ascii="Times New Roman" w:hAnsi="Times New Roman" w:eastAsia="仿宋" w:cs="Times New Roman"/>
                <w:color w:val="000000"/>
                <w:kern w:val="0"/>
                <w:sz w:val="28"/>
                <w:szCs w:val="28"/>
              </w:rPr>
              <w:t>120</w:t>
            </w:r>
          </w:p>
        </w:tc>
        <w:tc>
          <w:tcPr>
            <w:tcW w:w="2268" w:type="dxa"/>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rPr>
                <w:rFonts w:ascii="Times New Roman" w:hAnsi="Times New Roman" w:eastAsia="仿宋" w:cs="Times New Roman"/>
                <w:color w:val="000000"/>
                <w:kern w:val="0"/>
                <w:sz w:val="28"/>
                <w:szCs w:val="28"/>
              </w:rPr>
            </w:pPr>
            <w:r>
              <w:rPr>
                <w:rFonts w:hint="eastAsia" w:ascii="Times New Roman" w:hAnsi="Times New Roman" w:eastAsia="仿宋" w:cs="Times New Roman"/>
                <w:color w:val="000000"/>
                <w:kern w:val="0"/>
                <w:sz w:val="28"/>
                <w:szCs w:val="28"/>
              </w:rPr>
              <w:t>6</w:t>
            </w:r>
          </w:p>
        </w:tc>
      </w:tr>
      <w:tr>
        <w:tblPrEx>
          <w:tblLayout w:type="fixed"/>
          <w:tblCellMar>
            <w:top w:w="15" w:type="dxa"/>
            <w:left w:w="108" w:type="dxa"/>
            <w:bottom w:w="15" w:type="dxa"/>
            <w:right w:w="108" w:type="dxa"/>
          </w:tblCellMar>
        </w:tblPrEx>
        <w:trPr>
          <w:trHeight w:val="340" w:hRule="atLeast"/>
          <w:jc w:val="center"/>
        </w:trPr>
        <w:tc>
          <w:tcPr>
            <w:tcW w:w="3555" w:type="dxa"/>
            <w:gridSpan w:val="2"/>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rPr>
                <w:rFonts w:ascii="Times New Roman" w:hAnsi="Times New Roman" w:eastAsia="仿宋" w:cs="Times New Roman"/>
                <w:b/>
                <w:color w:val="000000"/>
                <w:kern w:val="0"/>
                <w:sz w:val="28"/>
                <w:szCs w:val="28"/>
              </w:rPr>
            </w:pPr>
            <w:r>
              <w:rPr>
                <w:rFonts w:ascii="Times New Roman" w:hAnsi="Times New Roman" w:eastAsia="仿宋" w:cs="Times New Roman"/>
                <w:b/>
                <w:color w:val="000000"/>
                <w:kern w:val="0"/>
                <w:sz w:val="28"/>
                <w:szCs w:val="28"/>
              </w:rPr>
              <w:t>合计</w:t>
            </w:r>
          </w:p>
        </w:tc>
        <w:tc>
          <w:tcPr>
            <w:tcW w:w="2504" w:type="dxa"/>
            <w:tcBorders>
              <w:top w:val="single" w:color="auto" w:sz="4" w:space="0"/>
              <w:left w:val="single" w:color="auto" w:sz="4" w:space="0"/>
              <w:bottom w:val="single" w:color="auto" w:sz="4" w:space="0"/>
              <w:right w:val="single" w:color="auto" w:sz="4" w:space="0"/>
            </w:tcBorders>
          </w:tcPr>
          <w:p>
            <w:pPr>
              <w:widowControl/>
              <w:spacing w:line="560" w:lineRule="exact"/>
              <w:jc w:val="center"/>
              <w:rPr>
                <w:rFonts w:ascii="Times New Roman" w:hAnsi="Times New Roman" w:eastAsia="仿宋" w:cs="Times New Roman"/>
                <w:b/>
                <w:kern w:val="0"/>
                <w:sz w:val="28"/>
                <w:szCs w:val="28"/>
              </w:rPr>
            </w:pPr>
            <w:r>
              <w:rPr>
                <w:rFonts w:ascii="Times New Roman" w:hAnsi="Times New Roman" w:eastAsia="仿宋" w:cs="Times New Roman"/>
                <w:b/>
                <w:kern w:val="0"/>
                <w:sz w:val="28"/>
                <w:szCs w:val="28"/>
              </w:rPr>
              <w:t>4</w:t>
            </w:r>
            <w:r>
              <w:rPr>
                <w:rFonts w:hint="eastAsia" w:ascii="Times New Roman" w:hAnsi="Times New Roman" w:eastAsia="仿宋" w:cs="Times New Roman"/>
                <w:b/>
                <w:kern w:val="0"/>
                <w:sz w:val="28"/>
                <w:szCs w:val="28"/>
              </w:rPr>
              <w:t>56</w:t>
            </w:r>
          </w:p>
        </w:tc>
        <w:tc>
          <w:tcPr>
            <w:tcW w:w="2268" w:type="dxa"/>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rPr>
                <w:rFonts w:ascii="Times New Roman" w:hAnsi="Times New Roman" w:eastAsia="仿宋" w:cs="Times New Roman"/>
                <w:b/>
                <w:kern w:val="0"/>
                <w:sz w:val="28"/>
                <w:szCs w:val="28"/>
              </w:rPr>
            </w:pPr>
            <w:r>
              <w:rPr>
                <w:rFonts w:hint="eastAsia" w:ascii="Times New Roman" w:hAnsi="Times New Roman" w:eastAsia="仿宋" w:cs="Times New Roman"/>
                <w:b/>
                <w:kern w:val="0"/>
                <w:sz w:val="28"/>
                <w:szCs w:val="28"/>
              </w:rPr>
              <w:t>76</w:t>
            </w:r>
          </w:p>
        </w:tc>
      </w:tr>
    </w:tbl>
    <w:p>
      <w:pPr>
        <w:adjustRightInd w:val="0"/>
        <w:snapToGrid w:val="0"/>
        <w:spacing w:line="56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八、转入学生课程学分要求</w:t>
      </w:r>
    </w:p>
    <w:p>
      <w:pPr>
        <w:spacing w:line="560" w:lineRule="exact"/>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申请同级转入的学生需取得相应</w:t>
      </w:r>
      <w:r>
        <w:rPr>
          <w:rFonts w:hint="eastAsia" w:ascii="Times New Roman" w:hAnsi="Times New Roman" w:eastAsia="仿宋" w:cs="Times New Roman"/>
          <w:sz w:val="32"/>
          <w:szCs w:val="32"/>
        </w:rPr>
        <w:t>学期的</w:t>
      </w:r>
      <w:r>
        <w:rPr>
          <w:rFonts w:ascii="Times New Roman" w:hAnsi="Times New Roman" w:eastAsia="仿宋" w:cs="Times New Roman"/>
          <w:sz w:val="32"/>
          <w:szCs w:val="32"/>
        </w:rPr>
        <w:t>学科基础课程学分50%以上（参照下表）。</w:t>
      </w:r>
    </w:p>
    <w:tbl>
      <w:tblPr>
        <w:tblStyle w:val="6"/>
        <w:tblW w:w="840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1296"/>
        <w:gridCol w:w="2122"/>
        <w:gridCol w:w="848"/>
        <w:gridCol w:w="708"/>
        <w:gridCol w:w="2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30"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专业</w:t>
            </w:r>
          </w:p>
        </w:tc>
        <w:tc>
          <w:tcPr>
            <w:tcW w:w="1296"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课程号</w:t>
            </w:r>
          </w:p>
        </w:tc>
        <w:tc>
          <w:tcPr>
            <w:tcW w:w="2122"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课程名称</w:t>
            </w:r>
          </w:p>
        </w:tc>
        <w:tc>
          <w:tcPr>
            <w:tcW w:w="84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学时</w:t>
            </w:r>
          </w:p>
        </w:tc>
        <w:tc>
          <w:tcPr>
            <w:tcW w:w="70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学分</w:t>
            </w:r>
          </w:p>
        </w:tc>
        <w:tc>
          <w:tcPr>
            <w:tcW w:w="2597"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30" w:type="dxa"/>
            <w:vMerge w:val="restart"/>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生物技术</w:t>
            </w:r>
          </w:p>
        </w:tc>
        <w:tc>
          <w:tcPr>
            <w:tcW w:w="1296"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176021005</w:t>
            </w:r>
          </w:p>
        </w:tc>
        <w:tc>
          <w:tcPr>
            <w:tcW w:w="2122"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高等数学C</w:t>
            </w:r>
          </w:p>
        </w:tc>
        <w:tc>
          <w:tcPr>
            <w:tcW w:w="84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64</w:t>
            </w:r>
          </w:p>
        </w:tc>
        <w:tc>
          <w:tcPr>
            <w:tcW w:w="70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4</w:t>
            </w:r>
          </w:p>
        </w:tc>
        <w:tc>
          <w:tcPr>
            <w:tcW w:w="2597"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高等数学AB认可学分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30" w:type="dxa"/>
            <w:vMerge w:val="continue"/>
            <w:vAlign w:val="center"/>
          </w:tcPr>
          <w:p>
            <w:pPr>
              <w:spacing w:line="560" w:lineRule="exact"/>
              <w:jc w:val="center"/>
              <w:rPr>
                <w:rFonts w:ascii="Times New Roman" w:hAnsi="Times New Roman" w:eastAsia="仿宋" w:cs="Times New Roman"/>
                <w:sz w:val="24"/>
                <w:szCs w:val="24"/>
              </w:rPr>
            </w:pPr>
          </w:p>
        </w:tc>
        <w:tc>
          <w:tcPr>
            <w:tcW w:w="1296"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176081162</w:t>
            </w:r>
          </w:p>
        </w:tc>
        <w:tc>
          <w:tcPr>
            <w:tcW w:w="2122"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无机及分析化学</w:t>
            </w:r>
          </w:p>
        </w:tc>
        <w:tc>
          <w:tcPr>
            <w:tcW w:w="84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48</w:t>
            </w:r>
          </w:p>
        </w:tc>
        <w:tc>
          <w:tcPr>
            <w:tcW w:w="70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3</w:t>
            </w:r>
          </w:p>
        </w:tc>
        <w:tc>
          <w:tcPr>
            <w:tcW w:w="2597"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学时≥48，认可学分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30" w:type="dxa"/>
            <w:vMerge w:val="continue"/>
            <w:vAlign w:val="center"/>
          </w:tcPr>
          <w:p>
            <w:pPr>
              <w:spacing w:line="560" w:lineRule="exact"/>
              <w:jc w:val="center"/>
              <w:rPr>
                <w:rFonts w:ascii="Times New Roman" w:hAnsi="Times New Roman" w:eastAsia="仿宋" w:cs="Times New Roman"/>
                <w:sz w:val="24"/>
                <w:szCs w:val="24"/>
              </w:rPr>
            </w:pPr>
          </w:p>
        </w:tc>
        <w:tc>
          <w:tcPr>
            <w:tcW w:w="1296"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176081203</w:t>
            </w:r>
          </w:p>
        </w:tc>
        <w:tc>
          <w:tcPr>
            <w:tcW w:w="2122"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有机化学</w:t>
            </w:r>
          </w:p>
        </w:tc>
        <w:tc>
          <w:tcPr>
            <w:tcW w:w="84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40</w:t>
            </w:r>
          </w:p>
        </w:tc>
        <w:tc>
          <w:tcPr>
            <w:tcW w:w="70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2</w:t>
            </w:r>
          </w:p>
        </w:tc>
        <w:tc>
          <w:tcPr>
            <w:tcW w:w="2597"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学时≥40，认可学分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30" w:type="dxa"/>
            <w:vMerge w:val="continue"/>
            <w:vAlign w:val="center"/>
          </w:tcPr>
          <w:p>
            <w:pPr>
              <w:spacing w:line="560" w:lineRule="exact"/>
              <w:jc w:val="center"/>
              <w:rPr>
                <w:rFonts w:ascii="Times New Roman" w:hAnsi="Times New Roman" w:eastAsia="仿宋" w:cs="Times New Roman"/>
                <w:sz w:val="24"/>
                <w:szCs w:val="24"/>
              </w:rPr>
            </w:pPr>
          </w:p>
        </w:tc>
        <w:tc>
          <w:tcPr>
            <w:tcW w:w="1296"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176021008</w:t>
            </w:r>
          </w:p>
        </w:tc>
        <w:tc>
          <w:tcPr>
            <w:tcW w:w="2122"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大学物理B(一)</w:t>
            </w:r>
          </w:p>
        </w:tc>
        <w:tc>
          <w:tcPr>
            <w:tcW w:w="84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48</w:t>
            </w:r>
          </w:p>
        </w:tc>
        <w:tc>
          <w:tcPr>
            <w:tcW w:w="70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3</w:t>
            </w:r>
          </w:p>
        </w:tc>
        <w:tc>
          <w:tcPr>
            <w:tcW w:w="2597"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学时≥48，认可学分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30" w:type="dxa"/>
            <w:vMerge w:val="continue"/>
            <w:vAlign w:val="center"/>
          </w:tcPr>
          <w:p>
            <w:pPr>
              <w:spacing w:line="560" w:lineRule="exact"/>
              <w:jc w:val="center"/>
              <w:rPr>
                <w:rFonts w:ascii="Times New Roman" w:hAnsi="Times New Roman" w:eastAsia="仿宋" w:cs="Times New Roman"/>
                <w:sz w:val="24"/>
                <w:szCs w:val="24"/>
              </w:rPr>
            </w:pPr>
          </w:p>
        </w:tc>
        <w:tc>
          <w:tcPr>
            <w:tcW w:w="1296"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176021009</w:t>
            </w:r>
          </w:p>
        </w:tc>
        <w:tc>
          <w:tcPr>
            <w:tcW w:w="2122"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大学物理B(二)</w:t>
            </w:r>
          </w:p>
        </w:tc>
        <w:tc>
          <w:tcPr>
            <w:tcW w:w="84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48</w:t>
            </w:r>
          </w:p>
        </w:tc>
        <w:tc>
          <w:tcPr>
            <w:tcW w:w="70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3</w:t>
            </w:r>
          </w:p>
        </w:tc>
        <w:tc>
          <w:tcPr>
            <w:tcW w:w="2597"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学时≥48，认可学分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30" w:type="dxa"/>
            <w:vMerge w:val="continue"/>
            <w:vAlign w:val="center"/>
          </w:tcPr>
          <w:p>
            <w:pPr>
              <w:spacing w:line="560" w:lineRule="exact"/>
              <w:jc w:val="center"/>
              <w:rPr>
                <w:rFonts w:ascii="Times New Roman" w:hAnsi="Times New Roman" w:eastAsia="仿宋" w:cs="Times New Roman"/>
                <w:sz w:val="24"/>
                <w:szCs w:val="24"/>
              </w:rPr>
            </w:pPr>
          </w:p>
        </w:tc>
        <w:tc>
          <w:tcPr>
            <w:tcW w:w="1296"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176091037</w:t>
            </w:r>
          </w:p>
        </w:tc>
        <w:tc>
          <w:tcPr>
            <w:tcW w:w="2122"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普通生物学</w:t>
            </w:r>
          </w:p>
        </w:tc>
        <w:tc>
          <w:tcPr>
            <w:tcW w:w="84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48</w:t>
            </w:r>
          </w:p>
        </w:tc>
        <w:tc>
          <w:tcPr>
            <w:tcW w:w="70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3</w:t>
            </w:r>
          </w:p>
        </w:tc>
        <w:tc>
          <w:tcPr>
            <w:tcW w:w="2597"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学时≥48，认可学分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30" w:type="dxa"/>
            <w:vMerge w:val="continue"/>
            <w:vAlign w:val="center"/>
          </w:tcPr>
          <w:p>
            <w:pPr>
              <w:spacing w:line="560" w:lineRule="exact"/>
              <w:jc w:val="center"/>
              <w:rPr>
                <w:rFonts w:ascii="Times New Roman" w:hAnsi="Times New Roman" w:eastAsia="仿宋" w:cs="Times New Roman"/>
                <w:sz w:val="24"/>
                <w:szCs w:val="24"/>
              </w:rPr>
            </w:pPr>
          </w:p>
        </w:tc>
        <w:tc>
          <w:tcPr>
            <w:tcW w:w="1296" w:type="dxa"/>
            <w:vAlign w:val="center"/>
          </w:tcPr>
          <w:p>
            <w:pPr>
              <w:spacing w:line="560" w:lineRule="exact"/>
              <w:rPr>
                <w:rFonts w:ascii="Times New Roman" w:hAnsi="Times New Roman" w:eastAsia="仿宋" w:cs="Times New Roman"/>
                <w:sz w:val="24"/>
                <w:szCs w:val="24"/>
              </w:rPr>
            </w:pPr>
            <w:r>
              <w:rPr>
                <w:rFonts w:ascii="Times New Roman" w:hAnsi="Times New Roman" w:eastAsia="仿宋" w:cs="Times New Roman"/>
                <w:sz w:val="24"/>
                <w:szCs w:val="24"/>
              </w:rPr>
              <w:t>176091053</w:t>
            </w:r>
          </w:p>
        </w:tc>
        <w:tc>
          <w:tcPr>
            <w:tcW w:w="2122"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生物化学(一)</w:t>
            </w:r>
          </w:p>
        </w:tc>
        <w:tc>
          <w:tcPr>
            <w:tcW w:w="84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64</w:t>
            </w:r>
          </w:p>
        </w:tc>
        <w:tc>
          <w:tcPr>
            <w:tcW w:w="70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4</w:t>
            </w:r>
          </w:p>
        </w:tc>
        <w:tc>
          <w:tcPr>
            <w:tcW w:w="2597"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学时≥64，认可学分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30" w:type="dxa"/>
            <w:vMerge w:val="continue"/>
            <w:vAlign w:val="center"/>
          </w:tcPr>
          <w:p>
            <w:pPr>
              <w:spacing w:line="560" w:lineRule="exact"/>
              <w:jc w:val="center"/>
              <w:rPr>
                <w:rFonts w:ascii="Times New Roman" w:hAnsi="Times New Roman" w:eastAsia="仿宋" w:cs="Times New Roman"/>
                <w:sz w:val="24"/>
                <w:szCs w:val="24"/>
              </w:rPr>
            </w:pPr>
          </w:p>
        </w:tc>
        <w:tc>
          <w:tcPr>
            <w:tcW w:w="1296" w:type="dxa"/>
            <w:vAlign w:val="center"/>
          </w:tcPr>
          <w:p>
            <w:pPr>
              <w:spacing w:line="560" w:lineRule="exact"/>
              <w:rPr>
                <w:rFonts w:ascii="Times New Roman" w:hAnsi="Times New Roman" w:eastAsia="仿宋" w:cs="Times New Roman"/>
                <w:sz w:val="24"/>
                <w:szCs w:val="24"/>
              </w:rPr>
            </w:pPr>
            <w:r>
              <w:rPr>
                <w:rFonts w:ascii="Times New Roman" w:hAnsi="Times New Roman" w:eastAsia="仿宋" w:cs="Times New Roman"/>
                <w:sz w:val="24"/>
                <w:szCs w:val="24"/>
              </w:rPr>
              <w:t>176091057</w:t>
            </w:r>
          </w:p>
        </w:tc>
        <w:tc>
          <w:tcPr>
            <w:tcW w:w="2122"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生物统计学</w:t>
            </w:r>
          </w:p>
        </w:tc>
        <w:tc>
          <w:tcPr>
            <w:tcW w:w="84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38</w:t>
            </w:r>
          </w:p>
        </w:tc>
        <w:tc>
          <w:tcPr>
            <w:tcW w:w="70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2</w:t>
            </w:r>
          </w:p>
        </w:tc>
        <w:tc>
          <w:tcPr>
            <w:tcW w:w="2597"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学时≥38，认可学分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30" w:type="dxa"/>
            <w:vMerge w:val="restart"/>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生物科学(师范)</w:t>
            </w:r>
          </w:p>
        </w:tc>
        <w:tc>
          <w:tcPr>
            <w:tcW w:w="1296"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176021005</w:t>
            </w:r>
          </w:p>
        </w:tc>
        <w:tc>
          <w:tcPr>
            <w:tcW w:w="2122"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高等数学C</w:t>
            </w:r>
          </w:p>
        </w:tc>
        <w:tc>
          <w:tcPr>
            <w:tcW w:w="84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64</w:t>
            </w:r>
          </w:p>
        </w:tc>
        <w:tc>
          <w:tcPr>
            <w:tcW w:w="70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4</w:t>
            </w:r>
          </w:p>
        </w:tc>
        <w:tc>
          <w:tcPr>
            <w:tcW w:w="2597"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高等数学AB认可学分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30" w:type="dxa"/>
            <w:vMerge w:val="continue"/>
            <w:vAlign w:val="center"/>
          </w:tcPr>
          <w:p>
            <w:pPr>
              <w:spacing w:line="560" w:lineRule="exact"/>
              <w:jc w:val="center"/>
              <w:rPr>
                <w:rFonts w:ascii="Times New Roman" w:hAnsi="Times New Roman" w:eastAsia="仿宋" w:cs="Times New Roman"/>
                <w:sz w:val="24"/>
                <w:szCs w:val="24"/>
              </w:rPr>
            </w:pPr>
          </w:p>
        </w:tc>
        <w:tc>
          <w:tcPr>
            <w:tcW w:w="1296"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176081162</w:t>
            </w:r>
          </w:p>
        </w:tc>
        <w:tc>
          <w:tcPr>
            <w:tcW w:w="2122"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无机及分析化学</w:t>
            </w:r>
          </w:p>
        </w:tc>
        <w:tc>
          <w:tcPr>
            <w:tcW w:w="84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48</w:t>
            </w:r>
          </w:p>
        </w:tc>
        <w:tc>
          <w:tcPr>
            <w:tcW w:w="70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3</w:t>
            </w:r>
          </w:p>
        </w:tc>
        <w:tc>
          <w:tcPr>
            <w:tcW w:w="2597"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学时≥48，认可学分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30" w:type="dxa"/>
            <w:vMerge w:val="continue"/>
            <w:vAlign w:val="center"/>
          </w:tcPr>
          <w:p>
            <w:pPr>
              <w:spacing w:line="560" w:lineRule="exact"/>
              <w:jc w:val="center"/>
              <w:rPr>
                <w:rFonts w:ascii="Times New Roman" w:hAnsi="Times New Roman" w:eastAsia="仿宋" w:cs="Times New Roman"/>
                <w:sz w:val="24"/>
                <w:szCs w:val="24"/>
              </w:rPr>
            </w:pPr>
          </w:p>
        </w:tc>
        <w:tc>
          <w:tcPr>
            <w:tcW w:w="1296"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176081203</w:t>
            </w:r>
          </w:p>
        </w:tc>
        <w:tc>
          <w:tcPr>
            <w:tcW w:w="2122"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有机化学</w:t>
            </w:r>
          </w:p>
        </w:tc>
        <w:tc>
          <w:tcPr>
            <w:tcW w:w="84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40</w:t>
            </w:r>
          </w:p>
        </w:tc>
        <w:tc>
          <w:tcPr>
            <w:tcW w:w="70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2</w:t>
            </w:r>
          </w:p>
        </w:tc>
        <w:tc>
          <w:tcPr>
            <w:tcW w:w="2597"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学时≥40，认可学分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30" w:type="dxa"/>
            <w:vMerge w:val="continue"/>
            <w:vAlign w:val="center"/>
          </w:tcPr>
          <w:p>
            <w:pPr>
              <w:spacing w:line="560" w:lineRule="exact"/>
              <w:jc w:val="center"/>
              <w:rPr>
                <w:rFonts w:ascii="Times New Roman" w:hAnsi="Times New Roman" w:eastAsia="仿宋" w:cs="Times New Roman"/>
                <w:sz w:val="24"/>
                <w:szCs w:val="24"/>
              </w:rPr>
            </w:pPr>
          </w:p>
        </w:tc>
        <w:tc>
          <w:tcPr>
            <w:tcW w:w="1296"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176021008</w:t>
            </w:r>
          </w:p>
        </w:tc>
        <w:tc>
          <w:tcPr>
            <w:tcW w:w="2122"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大学物理B(一)</w:t>
            </w:r>
          </w:p>
        </w:tc>
        <w:tc>
          <w:tcPr>
            <w:tcW w:w="84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48</w:t>
            </w:r>
          </w:p>
        </w:tc>
        <w:tc>
          <w:tcPr>
            <w:tcW w:w="70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3</w:t>
            </w:r>
          </w:p>
        </w:tc>
        <w:tc>
          <w:tcPr>
            <w:tcW w:w="2597"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学时≥48，认可学分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30" w:type="dxa"/>
            <w:vMerge w:val="continue"/>
            <w:vAlign w:val="center"/>
          </w:tcPr>
          <w:p>
            <w:pPr>
              <w:spacing w:line="560" w:lineRule="exact"/>
              <w:jc w:val="center"/>
              <w:rPr>
                <w:rFonts w:ascii="Times New Roman" w:hAnsi="Times New Roman" w:eastAsia="仿宋" w:cs="Times New Roman"/>
                <w:sz w:val="24"/>
                <w:szCs w:val="24"/>
              </w:rPr>
            </w:pPr>
          </w:p>
        </w:tc>
        <w:tc>
          <w:tcPr>
            <w:tcW w:w="1296"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176021009</w:t>
            </w:r>
          </w:p>
        </w:tc>
        <w:tc>
          <w:tcPr>
            <w:tcW w:w="2122"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大学物理B(二)</w:t>
            </w:r>
          </w:p>
        </w:tc>
        <w:tc>
          <w:tcPr>
            <w:tcW w:w="84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48</w:t>
            </w:r>
          </w:p>
        </w:tc>
        <w:tc>
          <w:tcPr>
            <w:tcW w:w="70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3</w:t>
            </w:r>
          </w:p>
        </w:tc>
        <w:tc>
          <w:tcPr>
            <w:tcW w:w="2597"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学时≥48，认可学分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30" w:type="dxa"/>
            <w:vMerge w:val="continue"/>
            <w:vAlign w:val="center"/>
          </w:tcPr>
          <w:p>
            <w:pPr>
              <w:spacing w:line="560" w:lineRule="exact"/>
              <w:jc w:val="center"/>
              <w:rPr>
                <w:rFonts w:ascii="Times New Roman" w:hAnsi="Times New Roman" w:eastAsia="仿宋" w:cs="Times New Roman"/>
                <w:sz w:val="24"/>
                <w:szCs w:val="24"/>
              </w:rPr>
            </w:pPr>
          </w:p>
        </w:tc>
        <w:tc>
          <w:tcPr>
            <w:tcW w:w="1296"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176091084</w:t>
            </w:r>
          </w:p>
        </w:tc>
        <w:tc>
          <w:tcPr>
            <w:tcW w:w="2122"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植物生物学</w:t>
            </w:r>
          </w:p>
        </w:tc>
        <w:tc>
          <w:tcPr>
            <w:tcW w:w="84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64</w:t>
            </w:r>
          </w:p>
        </w:tc>
        <w:tc>
          <w:tcPr>
            <w:tcW w:w="70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3</w:t>
            </w:r>
          </w:p>
        </w:tc>
        <w:tc>
          <w:tcPr>
            <w:tcW w:w="2597"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学时≥64，认可学分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30" w:type="dxa"/>
            <w:vMerge w:val="continue"/>
            <w:vAlign w:val="center"/>
          </w:tcPr>
          <w:p>
            <w:pPr>
              <w:spacing w:line="560" w:lineRule="exact"/>
              <w:jc w:val="center"/>
              <w:rPr>
                <w:rFonts w:ascii="Times New Roman" w:hAnsi="Times New Roman" w:eastAsia="仿宋" w:cs="Times New Roman"/>
                <w:sz w:val="24"/>
                <w:szCs w:val="24"/>
              </w:rPr>
            </w:pPr>
          </w:p>
        </w:tc>
        <w:tc>
          <w:tcPr>
            <w:tcW w:w="1296"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176091004</w:t>
            </w:r>
          </w:p>
        </w:tc>
        <w:tc>
          <w:tcPr>
            <w:tcW w:w="2122"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动物生物学</w:t>
            </w:r>
          </w:p>
        </w:tc>
        <w:tc>
          <w:tcPr>
            <w:tcW w:w="84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64</w:t>
            </w:r>
          </w:p>
        </w:tc>
        <w:tc>
          <w:tcPr>
            <w:tcW w:w="70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4</w:t>
            </w:r>
          </w:p>
        </w:tc>
        <w:tc>
          <w:tcPr>
            <w:tcW w:w="2597"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学时≥64，认可学分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30" w:type="dxa"/>
            <w:vMerge w:val="continue"/>
            <w:vAlign w:val="center"/>
          </w:tcPr>
          <w:p>
            <w:pPr>
              <w:spacing w:line="560" w:lineRule="exact"/>
              <w:jc w:val="center"/>
              <w:rPr>
                <w:rFonts w:ascii="Times New Roman" w:hAnsi="Times New Roman" w:eastAsia="仿宋" w:cs="Times New Roman"/>
                <w:sz w:val="24"/>
                <w:szCs w:val="24"/>
              </w:rPr>
            </w:pPr>
          </w:p>
        </w:tc>
        <w:tc>
          <w:tcPr>
            <w:tcW w:w="1296" w:type="dxa"/>
            <w:vAlign w:val="center"/>
          </w:tcPr>
          <w:p>
            <w:pPr>
              <w:spacing w:line="560" w:lineRule="exact"/>
              <w:rPr>
                <w:rFonts w:ascii="Times New Roman" w:hAnsi="Times New Roman" w:eastAsia="仿宋" w:cs="Times New Roman"/>
                <w:sz w:val="24"/>
                <w:szCs w:val="24"/>
              </w:rPr>
            </w:pPr>
            <w:r>
              <w:rPr>
                <w:rFonts w:ascii="Times New Roman" w:hAnsi="Times New Roman" w:eastAsia="仿宋" w:cs="Times New Roman"/>
                <w:sz w:val="24"/>
                <w:szCs w:val="24"/>
              </w:rPr>
              <w:t>176091053</w:t>
            </w:r>
          </w:p>
        </w:tc>
        <w:tc>
          <w:tcPr>
            <w:tcW w:w="2122"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生物化学(一)</w:t>
            </w:r>
          </w:p>
        </w:tc>
        <w:tc>
          <w:tcPr>
            <w:tcW w:w="84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64</w:t>
            </w:r>
          </w:p>
        </w:tc>
        <w:tc>
          <w:tcPr>
            <w:tcW w:w="70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4</w:t>
            </w:r>
          </w:p>
        </w:tc>
        <w:tc>
          <w:tcPr>
            <w:tcW w:w="2597"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学时≥64，认可学分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30" w:type="dxa"/>
            <w:vMerge w:val="continue"/>
            <w:vAlign w:val="center"/>
          </w:tcPr>
          <w:p>
            <w:pPr>
              <w:spacing w:line="560" w:lineRule="exact"/>
              <w:jc w:val="center"/>
              <w:rPr>
                <w:rFonts w:ascii="Times New Roman" w:hAnsi="Times New Roman" w:eastAsia="仿宋" w:cs="Times New Roman"/>
                <w:sz w:val="24"/>
                <w:szCs w:val="24"/>
              </w:rPr>
            </w:pPr>
          </w:p>
        </w:tc>
        <w:tc>
          <w:tcPr>
            <w:tcW w:w="1296" w:type="dxa"/>
            <w:vAlign w:val="center"/>
          </w:tcPr>
          <w:p>
            <w:pPr>
              <w:spacing w:line="560" w:lineRule="exact"/>
              <w:rPr>
                <w:rFonts w:ascii="Times New Roman" w:hAnsi="Times New Roman" w:eastAsia="仿宋" w:cs="Times New Roman"/>
                <w:sz w:val="24"/>
                <w:szCs w:val="24"/>
              </w:rPr>
            </w:pPr>
            <w:r>
              <w:rPr>
                <w:rFonts w:ascii="Times New Roman" w:hAnsi="Times New Roman" w:eastAsia="仿宋" w:cs="Times New Roman"/>
                <w:sz w:val="24"/>
                <w:szCs w:val="24"/>
              </w:rPr>
              <w:t>176091057</w:t>
            </w:r>
          </w:p>
        </w:tc>
        <w:tc>
          <w:tcPr>
            <w:tcW w:w="2122"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生物统计学</w:t>
            </w:r>
          </w:p>
        </w:tc>
        <w:tc>
          <w:tcPr>
            <w:tcW w:w="84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38</w:t>
            </w:r>
          </w:p>
        </w:tc>
        <w:tc>
          <w:tcPr>
            <w:tcW w:w="70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2</w:t>
            </w:r>
          </w:p>
        </w:tc>
        <w:tc>
          <w:tcPr>
            <w:tcW w:w="2597"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学时≥38，认可学分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30" w:type="dxa"/>
            <w:vMerge w:val="restart"/>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海洋技术</w:t>
            </w:r>
          </w:p>
        </w:tc>
        <w:tc>
          <w:tcPr>
            <w:tcW w:w="1296"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176021005</w:t>
            </w:r>
          </w:p>
        </w:tc>
        <w:tc>
          <w:tcPr>
            <w:tcW w:w="2122"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高等数学C</w:t>
            </w:r>
          </w:p>
        </w:tc>
        <w:tc>
          <w:tcPr>
            <w:tcW w:w="84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64</w:t>
            </w:r>
          </w:p>
        </w:tc>
        <w:tc>
          <w:tcPr>
            <w:tcW w:w="70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4</w:t>
            </w:r>
          </w:p>
        </w:tc>
        <w:tc>
          <w:tcPr>
            <w:tcW w:w="2597"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高等数学AB认可学分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30" w:type="dxa"/>
            <w:vMerge w:val="continue"/>
            <w:vAlign w:val="center"/>
          </w:tcPr>
          <w:p>
            <w:pPr>
              <w:spacing w:line="560" w:lineRule="exact"/>
              <w:jc w:val="center"/>
              <w:rPr>
                <w:rFonts w:ascii="Times New Roman" w:hAnsi="Times New Roman" w:eastAsia="仿宋" w:cs="Times New Roman"/>
                <w:sz w:val="24"/>
                <w:szCs w:val="24"/>
              </w:rPr>
            </w:pPr>
          </w:p>
        </w:tc>
        <w:tc>
          <w:tcPr>
            <w:tcW w:w="1296"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176081162</w:t>
            </w:r>
          </w:p>
        </w:tc>
        <w:tc>
          <w:tcPr>
            <w:tcW w:w="2122"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无机及分析化学</w:t>
            </w:r>
          </w:p>
        </w:tc>
        <w:tc>
          <w:tcPr>
            <w:tcW w:w="84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50</w:t>
            </w:r>
          </w:p>
        </w:tc>
        <w:tc>
          <w:tcPr>
            <w:tcW w:w="70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3</w:t>
            </w:r>
          </w:p>
        </w:tc>
        <w:tc>
          <w:tcPr>
            <w:tcW w:w="2597"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学时≥50，认可学分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30" w:type="dxa"/>
            <w:vMerge w:val="continue"/>
            <w:vAlign w:val="center"/>
          </w:tcPr>
          <w:p>
            <w:pPr>
              <w:spacing w:line="560" w:lineRule="exact"/>
              <w:jc w:val="center"/>
              <w:rPr>
                <w:rFonts w:ascii="Times New Roman" w:hAnsi="Times New Roman" w:eastAsia="仿宋" w:cs="Times New Roman"/>
                <w:sz w:val="24"/>
                <w:szCs w:val="24"/>
              </w:rPr>
            </w:pPr>
          </w:p>
        </w:tc>
        <w:tc>
          <w:tcPr>
            <w:tcW w:w="1296"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176081203</w:t>
            </w:r>
          </w:p>
        </w:tc>
        <w:tc>
          <w:tcPr>
            <w:tcW w:w="2122"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有机化学</w:t>
            </w:r>
          </w:p>
        </w:tc>
        <w:tc>
          <w:tcPr>
            <w:tcW w:w="84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40</w:t>
            </w:r>
          </w:p>
        </w:tc>
        <w:tc>
          <w:tcPr>
            <w:tcW w:w="70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2</w:t>
            </w:r>
          </w:p>
        </w:tc>
        <w:tc>
          <w:tcPr>
            <w:tcW w:w="2597"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学时≥40，认可学分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30" w:type="dxa"/>
            <w:vMerge w:val="continue"/>
            <w:vAlign w:val="center"/>
          </w:tcPr>
          <w:p>
            <w:pPr>
              <w:spacing w:line="560" w:lineRule="exact"/>
              <w:jc w:val="center"/>
              <w:rPr>
                <w:rFonts w:ascii="Times New Roman" w:hAnsi="Times New Roman" w:eastAsia="仿宋" w:cs="Times New Roman"/>
                <w:sz w:val="24"/>
                <w:szCs w:val="24"/>
              </w:rPr>
            </w:pPr>
          </w:p>
        </w:tc>
        <w:tc>
          <w:tcPr>
            <w:tcW w:w="1296"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176021008</w:t>
            </w:r>
          </w:p>
        </w:tc>
        <w:tc>
          <w:tcPr>
            <w:tcW w:w="2122"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大学物理B(一)</w:t>
            </w:r>
          </w:p>
        </w:tc>
        <w:tc>
          <w:tcPr>
            <w:tcW w:w="84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48</w:t>
            </w:r>
          </w:p>
        </w:tc>
        <w:tc>
          <w:tcPr>
            <w:tcW w:w="70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3</w:t>
            </w:r>
          </w:p>
        </w:tc>
        <w:tc>
          <w:tcPr>
            <w:tcW w:w="2597"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学时≥48，认可学分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30" w:type="dxa"/>
            <w:vMerge w:val="continue"/>
            <w:vAlign w:val="center"/>
          </w:tcPr>
          <w:p>
            <w:pPr>
              <w:spacing w:line="560" w:lineRule="exact"/>
              <w:jc w:val="center"/>
              <w:rPr>
                <w:rFonts w:ascii="Times New Roman" w:hAnsi="Times New Roman" w:eastAsia="仿宋" w:cs="Times New Roman"/>
                <w:sz w:val="24"/>
                <w:szCs w:val="24"/>
              </w:rPr>
            </w:pPr>
          </w:p>
        </w:tc>
        <w:tc>
          <w:tcPr>
            <w:tcW w:w="1296"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176021009</w:t>
            </w:r>
          </w:p>
        </w:tc>
        <w:tc>
          <w:tcPr>
            <w:tcW w:w="2122"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大学物理B(二)</w:t>
            </w:r>
          </w:p>
        </w:tc>
        <w:tc>
          <w:tcPr>
            <w:tcW w:w="84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48</w:t>
            </w:r>
          </w:p>
        </w:tc>
        <w:tc>
          <w:tcPr>
            <w:tcW w:w="70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3</w:t>
            </w:r>
          </w:p>
        </w:tc>
        <w:tc>
          <w:tcPr>
            <w:tcW w:w="2597"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学时≥48，认可学分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trPr>
        <w:tc>
          <w:tcPr>
            <w:tcW w:w="830" w:type="dxa"/>
            <w:vMerge w:val="continue"/>
            <w:vAlign w:val="center"/>
          </w:tcPr>
          <w:p>
            <w:pPr>
              <w:spacing w:line="560" w:lineRule="exact"/>
              <w:jc w:val="center"/>
              <w:rPr>
                <w:rFonts w:ascii="Times New Roman" w:hAnsi="Times New Roman" w:eastAsia="仿宋" w:cs="Times New Roman"/>
                <w:sz w:val="24"/>
                <w:szCs w:val="24"/>
              </w:rPr>
            </w:pPr>
          </w:p>
        </w:tc>
        <w:tc>
          <w:tcPr>
            <w:tcW w:w="1296" w:type="dxa"/>
            <w:vAlign w:val="center"/>
          </w:tcPr>
          <w:p>
            <w:pPr>
              <w:spacing w:line="560" w:lineRule="exact"/>
              <w:rPr>
                <w:rFonts w:ascii="Times New Roman" w:hAnsi="Times New Roman" w:eastAsia="仿宋" w:cs="Times New Roman"/>
                <w:sz w:val="24"/>
                <w:szCs w:val="24"/>
              </w:rPr>
            </w:pPr>
            <w:r>
              <w:rPr>
                <w:rFonts w:ascii="Times New Roman" w:hAnsi="Times New Roman" w:eastAsia="仿宋" w:cs="Times New Roman"/>
                <w:sz w:val="24"/>
                <w:szCs w:val="24"/>
              </w:rPr>
              <w:t>176091053</w:t>
            </w:r>
          </w:p>
        </w:tc>
        <w:tc>
          <w:tcPr>
            <w:tcW w:w="2122"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生物化学(一)</w:t>
            </w:r>
          </w:p>
        </w:tc>
        <w:tc>
          <w:tcPr>
            <w:tcW w:w="84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64</w:t>
            </w:r>
          </w:p>
        </w:tc>
        <w:tc>
          <w:tcPr>
            <w:tcW w:w="70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4</w:t>
            </w:r>
          </w:p>
        </w:tc>
        <w:tc>
          <w:tcPr>
            <w:tcW w:w="2597"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学时≥64，认可学分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9" w:hRule="atLeast"/>
        </w:trPr>
        <w:tc>
          <w:tcPr>
            <w:tcW w:w="830" w:type="dxa"/>
            <w:vMerge w:val="continue"/>
            <w:vAlign w:val="center"/>
          </w:tcPr>
          <w:p>
            <w:pPr>
              <w:spacing w:line="560" w:lineRule="exact"/>
              <w:jc w:val="center"/>
              <w:rPr>
                <w:rFonts w:ascii="Times New Roman" w:hAnsi="Times New Roman" w:eastAsia="仿宋" w:cs="Times New Roman"/>
                <w:sz w:val="24"/>
                <w:szCs w:val="24"/>
              </w:rPr>
            </w:pPr>
          </w:p>
        </w:tc>
        <w:tc>
          <w:tcPr>
            <w:tcW w:w="1296" w:type="dxa"/>
            <w:vAlign w:val="center"/>
          </w:tcPr>
          <w:p>
            <w:pPr>
              <w:spacing w:line="560" w:lineRule="exact"/>
              <w:rPr>
                <w:rFonts w:ascii="Times New Roman" w:hAnsi="Times New Roman" w:eastAsia="仿宋" w:cs="Times New Roman"/>
                <w:sz w:val="24"/>
                <w:szCs w:val="24"/>
              </w:rPr>
            </w:pPr>
            <w:r>
              <w:rPr>
                <w:rFonts w:ascii="Times New Roman" w:hAnsi="Times New Roman" w:eastAsia="仿宋" w:cs="Times New Roman"/>
                <w:sz w:val="24"/>
                <w:szCs w:val="24"/>
              </w:rPr>
              <w:t>176091057</w:t>
            </w:r>
          </w:p>
        </w:tc>
        <w:tc>
          <w:tcPr>
            <w:tcW w:w="2122"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生物统计学</w:t>
            </w:r>
          </w:p>
        </w:tc>
        <w:tc>
          <w:tcPr>
            <w:tcW w:w="84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38</w:t>
            </w:r>
          </w:p>
        </w:tc>
        <w:tc>
          <w:tcPr>
            <w:tcW w:w="708"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2</w:t>
            </w:r>
          </w:p>
        </w:tc>
        <w:tc>
          <w:tcPr>
            <w:tcW w:w="2597" w:type="dxa"/>
            <w:vAlign w:val="center"/>
          </w:tcPr>
          <w:p>
            <w:pPr>
              <w:spacing w:line="560" w:lineRule="exact"/>
              <w:jc w:val="center"/>
              <w:rPr>
                <w:rFonts w:ascii="Times New Roman" w:hAnsi="Times New Roman" w:eastAsia="仿宋" w:cs="Times New Roman"/>
                <w:sz w:val="24"/>
                <w:szCs w:val="24"/>
              </w:rPr>
            </w:pPr>
            <w:r>
              <w:rPr>
                <w:rFonts w:ascii="Times New Roman" w:hAnsi="Times New Roman" w:eastAsia="仿宋" w:cs="Times New Roman"/>
                <w:sz w:val="24"/>
                <w:szCs w:val="24"/>
              </w:rPr>
              <w:t>学时≥38，认可学分</w:t>
            </w:r>
          </w:p>
        </w:tc>
      </w:tr>
    </w:tbl>
    <w:p>
      <w:pPr>
        <w:pStyle w:val="9"/>
        <w:snapToGrid w:val="0"/>
        <w:spacing w:line="560" w:lineRule="exact"/>
        <w:ind w:firstLine="640"/>
        <w:rPr>
          <w:rFonts w:ascii="Times New Roman" w:hAnsi="Times New Roman" w:eastAsia="仿宋" w:cs="Times New Roman"/>
          <w:sz w:val="32"/>
          <w:szCs w:val="32"/>
        </w:rPr>
      </w:pPr>
      <w:r>
        <w:rPr>
          <w:rFonts w:ascii="Times New Roman" w:hAnsi="Times New Roman" w:eastAsia="仿宋" w:cs="Times New Roman"/>
          <w:sz w:val="32"/>
          <w:szCs w:val="32"/>
        </w:rPr>
        <w:t>九、本办法适用</w:t>
      </w:r>
      <w:r>
        <w:rPr>
          <w:rFonts w:hint="eastAsia" w:ascii="Times New Roman" w:hAnsi="Times New Roman" w:eastAsia="仿宋" w:cs="Times New Roman"/>
          <w:sz w:val="32"/>
          <w:szCs w:val="32"/>
        </w:rPr>
        <w:t>2019-2020-2学期</w:t>
      </w:r>
      <w:r>
        <w:rPr>
          <w:rFonts w:ascii="Times New Roman" w:hAnsi="Times New Roman" w:eastAsia="仿宋" w:cs="Times New Roman"/>
          <w:sz w:val="32"/>
          <w:szCs w:val="32"/>
        </w:rPr>
        <w:t>转专业工作，由生命科学学院负责解释，学院设立专门的咨询及监督举报电话。</w:t>
      </w:r>
    </w:p>
    <w:p>
      <w:pPr>
        <w:spacing w:line="560" w:lineRule="exact"/>
        <w:rPr>
          <w:rFonts w:ascii="Times New Roman" w:hAnsi="Times New Roman" w:eastAsia="仿宋" w:cs="Times New Roman"/>
          <w:sz w:val="32"/>
          <w:szCs w:val="32"/>
        </w:rPr>
      </w:pPr>
      <w:r>
        <w:rPr>
          <w:rFonts w:ascii="Times New Roman" w:hAnsi="Times New Roman" w:eastAsia="仿宋" w:cs="Times New Roman"/>
          <w:sz w:val="32"/>
          <w:szCs w:val="32"/>
        </w:rPr>
        <w:t>附：生命科学学院本科生转专业考核小组人员组成名单</w:t>
      </w:r>
    </w:p>
    <w:p>
      <w:pPr>
        <w:spacing w:line="560" w:lineRule="exact"/>
        <w:ind w:firstLine="627" w:firstLineChars="196"/>
        <w:rPr>
          <w:rFonts w:ascii="Times New Roman" w:hAnsi="Times New Roman" w:eastAsia="仿宋" w:cs="Times New Roman"/>
          <w:sz w:val="32"/>
          <w:szCs w:val="32"/>
        </w:rPr>
      </w:pPr>
      <w:r>
        <w:rPr>
          <w:rFonts w:ascii="Times New Roman" w:hAnsi="Times New Roman" w:eastAsia="仿宋" w:cs="Times New Roman"/>
          <w:sz w:val="32"/>
          <w:szCs w:val="32"/>
        </w:rPr>
        <w:t>考核小组领导（组长）：姚登兵、季凌燕</w:t>
      </w:r>
    </w:p>
    <w:p>
      <w:pPr>
        <w:spacing w:line="560" w:lineRule="exact"/>
        <w:ind w:firstLine="627" w:firstLineChars="196"/>
        <w:rPr>
          <w:rFonts w:ascii="Times New Roman" w:hAnsi="Times New Roman" w:eastAsia="仿宋" w:cs="Times New Roman"/>
          <w:sz w:val="32"/>
          <w:szCs w:val="32"/>
        </w:rPr>
      </w:pPr>
      <w:r>
        <w:rPr>
          <w:rFonts w:ascii="Times New Roman" w:hAnsi="Times New Roman" w:eastAsia="仿宋" w:cs="Times New Roman"/>
          <w:sz w:val="32"/>
          <w:szCs w:val="32"/>
        </w:rPr>
        <w:t>考核小组成员：邓自发、金玲、</w:t>
      </w:r>
      <w:r>
        <w:rPr>
          <w:rFonts w:hint="eastAsia" w:ascii="Times New Roman" w:hAnsi="Times New Roman" w:eastAsia="仿宋" w:cs="Times New Roman"/>
          <w:sz w:val="32"/>
          <w:szCs w:val="32"/>
        </w:rPr>
        <w:t>黄玲</w:t>
      </w:r>
      <w:r>
        <w:rPr>
          <w:rFonts w:ascii="Times New Roman" w:hAnsi="Times New Roman" w:eastAsia="仿宋" w:cs="Times New Roman"/>
          <w:sz w:val="32"/>
          <w:szCs w:val="32"/>
        </w:rPr>
        <w:t>、</w:t>
      </w:r>
      <w:r>
        <w:rPr>
          <w:rFonts w:hint="eastAsia" w:ascii="Times New Roman" w:hAnsi="Times New Roman" w:eastAsia="仿宋" w:cs="Times New Roman"/>
          <w:sz w:val="32"/>
          <w:szCs w:val="32"/>
        </w:rPr>
        <w:t>张健</w:t>
      </w:r>
      <w:r>
        <w:rPr>
          <w:rFonts w:ascii="Times New Roman" w:hAnsi="Times New Roman" w:eastAsia="仿宋" w:cs="Times New Roman"/>
          <w:sz w:val="32"/>
          <w:szCs w:val="32"/>
        </w:rPr>
        <w:t>、王兆慧、</w:t>
      </w:r>
      <w:r>
        <w:rPr>
          <w:rFonts w:hint="eastAsia" w:ascii="Times New Roman" w:hAnsi="Times New Roman" w:eastAsia="仿宋" w:cs="Times New Roman"/>
          <w:sz w:val="32"/>
          <w:szCs w:val="32"/>
        </w:rPr>
        <w:t>于丽娟</w:t>
      </w:r>
      <w:r>
        <w:rPr>
          <w:rFonts w:ascii="Times New Roman" w:hAnsi="Times New Roman" w:eastAsia="仿宋" w:cs="Times New Roman"/>
          <w:sz w:val="32"/>
          <w:szCs w:val="32"/>
        </w:rPr>
        <w:t>、</w:t>
      </w:r>
      <w:r>
        <w:rPr>
          <w:rFonts w:hint="eastAsia" w:ascii="Times New Roman" w:hAnsi="Times New Roman" w:eastAsia="仿宋" w:cs="Times New Roman"/>
          <w:sz w:val="32"/>
          <w:szCs w:val="32"/>
        </w:rPr>
        <w:t>汪保华、钟非、袁卉华</w:t>
      </w:r>
    </w:p>
    <w:p>
      <w:pPr>
        <w:spacing w:line="560" w:lineRule="exact"/>
        <w:rPr>
          <w:rFonts w:ascii="Times New Roman" w:hAnsi="Times New Roman" w:eastAsia="仿宋" w:cs="Times New Roman"/>
          <w:sz w:val="32"/>
          <w:szCs w:val="32"/>
        </w:rPr>
      </w:pPr>
      <w:r>
        <w:rPr>
          <w:rFonts w:ascii="Times New Roman" w:hAnsi="Times New Roman" w:eastAsia="仿宋" w:cs="Times New Roman"/>
          <w:sz w:val="32"/>
          <w:szCs w:val="32"/>
        </w:rPr>
        <w:t xml:space="preserve">学院咨询电话：0513-85012812  </w:t>
      </w:r>
      <w:r>
        <w:rPr>
          <w:rFonts w:hint="eastAsia" w:ascii="Times New Roman" w:hAnsi="Times New Roman" w:eastAsia="仿宋" w:cs="Times New Roman"/>
          <w:sz w:val="32"/>
          <w:szCs w:val="32"/>
        </w:rPr>
        <w:t>孙文夏</w:t>
      </w:r>
    </w:p>
    <w:p>
      <w:pPr>
        <w:spacing w:line="560" w:lineRule="exact"/>
        <w:rPr>
          <w:rFonts w:ascii="Times New Roman" w:hAnsi="Times New Roman" w:eastAsia="仿宋" w:cs="Times New Roman"/>
          <w:sz w:val="32"/>
          <w:szCs w:val="32"/>
        </w:rPr>
      </w:pPr>
      <w:r>
        <w:rPr>
          <w:rFonts w:ascii="Times New Roman" w:hAnsi="Times New Roman" w:eastAsia="仿宋" w:cs="Times New Roman"/>
          <w:sz w:val="32"/>
          <w:szCs w:val="32"/>
        </w:rPr>
        <w:t xml:space="preserve">学院举报电话：13962934758  王兆慧  </w:t>
      </w:r>
    </w:p>
    <w:p>
      <w:pPr>
        <w:spacing w:line="560" w:lineRule="exact"/>
        <w:ind w:left="2100" w:leftChars="1000" w:firstLine="1920" w:firstLineChars="600"/>
        <w:rPr>
          <w:rFonts w:ascii="Times New Roman" w:hAnsi="Times New Roman" w:eastAsia="仿宋" w:cs="Times New Roman"/>
          <w:sz w:val="32"/>
          <w:szCs w:val="32"/>
        </w:rPr>
      </w:pPr>
      <w:r>
        <w:rPr>
          <w:rFonts w:ascii="Times New Roman" w:hAnsi="Times New Roman" w:eastAsia="仿宋" w:cs="Times New Roman"/>
          <w:sz w:val="32"/>
          <w:szCs w:val="32"/>
        </w:rPr>
        <w:t>生命科学学院·海洋学院</w:t>
      </w:r>
    </w:p>
    <w:p>
      <w:pPr>
        <w:spacing w:line="560" w:lineRule="exact"/>
        <w:ind w:left="4654" w:leftChars="2064" w:hanging="320" w:hangingChars="100"/>
        <w:rPr>
          <w:rFonts w:ascii="Times New Roman" w:hAnsi="Times New Roman" w:eastAsia="仿宋" w:cs="Times New Roman"/>
          <w:sz w:val="32"/>
          <w:szCs w:val="32"/>
        </w:rPr>
      </w:pPr>
      <w:r>
        <w:rPr>
          <w:rFonts w:ascii="Times New Roman" w:hAnsi="Times New Roman" w:eastAsia="仿宋" w:cs="Times New Roman"/>
          <w:sz w:val="32"/>
          <w:szCs w:val="32"/>
        </w:rPr>
        <w:t xml:space="preserve"> 2020年06月23日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仿宋">
    <w:panose1 w:val="02010609060101010101"/>
    <w:charset w:val="86"/>
    <w:family w:val="swiss"/>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decorative"/>
    <w:pitch w:val="default"/>
    <w:sig w:usb0="800002BF" w:usb1="38CF7CFA" w:usb2="00000016" w:usb3="00000000" w:csb0="00040001" w:csb1="00000000"/>
  </w:font>
  <w:font w:name="Calibri Light">
    <w:panose1 w:val="020F0302020204030204"/>
    <w:charset w:val="00"/>
    <w:family w:val="roman"/>
    <w:pitch w:val="default"/>
    <w:sig w:usb0="A00002EF" w:usb1="4000207B" w:usb2="00000000" w:usb3="00000000" w:csb0="2000019F" w:csb1="00000000"/>
  </w:font>
  <w:font w:name="黑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132706"/>
    </w:sdtPr>
    <w:sdtContent>
      <w:p>
        <w:pPr>
          <w:pStyle w:val="3"/>
          <w:jc w:val="center"/>
        </w:pPr>
        <w:r>
          <w:rPr>
            <w:lang w:val="zh-CN"/>
          </w:rPr>
          <w:fldChar w:fldCharType="begin"/>
        </w:r>
        <w:r>
          <w:rPr>
            <w:lang w:val="zh-CN"/>
          </w:rPr>
          <w:instrText xml:space="preserve"> PAGE   \* MERGEFORMAT </w:instrText>
        </w:r>
        <w:r>
          <w:rPr>
            <w:lang w:val="zh-CN"/>
          </w:rPr>
          <w:fldChar w:fldCharType="separate"/>
        </w:r>
        <w:r>
          <w:rPr>
            <w:lang w:val="zh-CN"/>
          </w:rPr>
          <w:t>3</w:t>
        </w:r>
        <w:r>
          <w:rPr>
            <w:lang w:val="zh-CN"/>
          </w:rP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818232932">
    <w:nsid w:val="30C53E64"/>
    <w:multiLevelType w:val="multilevel"/>
    <w:tmpl w:val="30C53E64"/>
    <w:lvl w:ilvl="0" w:tentative="1">
      <w:start w:val="1"/>
      <w:numFmt w:val="decimal"/>
      <w:lvlText w:val="%1."/>
      <w:lvlJc w:val="left"/>
      <w:pPr>
        <w:ind w:left="1000" w:hanging="360"/>
      </w:pPr>
      <w:rPr>
        <w:rFonts w:hint="default"/>
      </w:rPr>
    </w:lvl>
    <w:lvl w:ilvl="1" w:tentative="1">
      <w:start w:val="1"/>
      <w:numFmt w:val="lowerLetter"/>
      <w:lvlText w:val="%2)"/>
      <w:lvlJc w:val="left"/>
      <w:pPr>
        <w:ind w:left="1480" w:hanging="420"/>
      </w:pPr>
    </w:lvl>
    <w:lvl w:ilvl="2" w:tentative="1">
      <w:start w:val="1"/>
      <w:numFmt w:val="lowerRoman"/>
      <w:lvlText w:val="%3."/>
      <w:lvlJc w:val="right"/>
      <w:pPr>
        <w:ind w:left="1900" w:hanging="420"/>
      </w:pPr>
    </w:lvl>
    <w:lvl w:ilvl="3" w:tentative="1">
      <w:start w:val="1"/>
      <w:numFmt w:val="decimal"/>
      <w:lvlText w:val="%4."/>
      <w:lvlJc w:val="left"/>
      <w:pPr>
        <w:ind w:left="2320" w:hanging="420"/>
      </w:pPr>
    </w:lvl>
    <w:lvl w:ilvl="4" w:tentative="1">
      <w:start w:val="1"/>
      <w:numFmt w:val="lowerLetter"/>
      <w:lvlText w:val="%5)"/>
      <w:lvlJc w:val="left"/>
      <w:pPr>
        <w:ind w:left="2740" w:hanging="420"/>
      </w:pPr>
    </w:lvl>
    <w:lvl w:ilvl="5" w:tentative="1">
      <w:start w:val="1"/>
      <w:numFmt w:val="lowerRoman"/>
      <w:lvlText w:val="%6."/>
      <w:lvlJc w:val="right"/>
      <w:pPr>
        <w:ind w:left="3160" w:hanging="420"/>
      </w:pPr>
    </w:lvl>
    <w:lvl w:ilvl="6" w:tentative="1">
      <w:start w:val="1"/>
      <w:numFmt w:val="decimal"/>
      <w:lvlText w:val="%7."/>
      <w:lvlJc w:val="left"/>
      <w:pPr>
        <w:ind w:left="3580" w:hanging="420"/>
      </w:pPr>
    </w:lvl>
    <w:lvl w:ilvl="7" w:tentative="1">
      <w:start w:val="1"/>
      <w:numFmt w:val="lowerLetter"/>
      <w:lvlText w:val="%8)"/>
      <w:lvlJc w:val="left"/>
      <w:pPr>
        <w:ind w:left="4000" w:hanging="420"/>
      </w:pPr>
    </w:lvl>
    <w:lvl w:ilvl="8" w:tentative="1">
      <w:start w:val="1"/>
      <w:numFmt w:val="lowerRoman"/>
      <w:lvlText w:val="%9."/>
      <w:lvlJc w:val="right"/>
      <w:pPr>
        <w:ind w:left="4420" w:hanging="420"/>
      </w:pPr>
    </w:lvl>
  </w:abstractNum>
  <w:abstractNum w:abstractNumId="166404909">
    <w:nsid w:val="09EB232D"/>
    <w:multiLevelType w:val="multilevel"/>
    <w:tmpl w:val="09EB232D"/>
    <w:lvl w:ilvl="0" w:tentative="1">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166404909"/>
  </w:num>
  <w:num w:numId="2">
    <w:abstractNumId w:val="8182329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C7793"/>
    <w:rsid w:val="00005C2B"/>
    <w:rsid w:val="000111FB"/>
    <w:rsid w:val="00014A8D"/>
    <w:rsid w:val="00020911"/>
    <w:rsid w:val="00022CE2"/>
    <w:rsid w:val="00035F68"/>
    <w:rsid w:val="0005046F"/>
    <w:rsid w:val="00054AD5"/>
    <w:rsid w:val="0007133C"/>
    <w:rsid w:val="00093C35"/>
    <w:rsid w:val="000963FB"/>
    <w:rsid w:val="000B0DC4"/>
    <w:rsid w:val="000C4874"/>
    <w:rsid w:val="001045C3"/>
    <w:rsid w:val="001130CA"/>
    <w:rsid w:val="00116711"/>
    <w:rsid w:val="00121198"/>
    <w:rsid w:val="00121B64"/>
    <w:rsid w:val="00121B72"/>
    <w:rsid w:val="00125035"/>
    <w:rsid w:val="00127B7B"/>
    <w:rsid w:val="0013704A"/>
    <w:rsid w:val="001647A9"/>
    <w:rsid w:val="00172018"/>
    <w:rsid w:val="001A255F"/>
    <w:rsid w:val="001A3B45"/>
    <w:rsid w:val="001A6EF3"/>
    <w:rsid w:val="001D2359"/>
    <w:rsid w:val="001E10F3"/>
    <w:rsid w:val="001E3E04"/>
    <w:rsid w:val="001E7AAE"/>
    <w:rsid w:val="001F3053"/>
    <w:rsid w:val="00203EA2"/>
    <w:rsid w:val="00220EEF"/>
    <w:rsid w:val="00226573"/>
    <w:rsid w:val="002428C5"/>
    <w:rsid w:val="00246FA1"/>
    <w:rsid w:val="0025749E"/>
    <w:rsid w:val="00260653"/>
    <w:rsid w:val="00267160"/>
    <w:rsid w:val="00271802"/>
    <w:rsid w:val="00284E31"/>
    <w:rsid w:val="00294023"/>
    <w:rsid w:val="002E33B8"/>
    <w:rsid w:val="0031012B"/>
    <w:rsid w:val="00313F23"/>
    <w:rsid w:val="00316DA7"/>
    <w:rsid w:val="00317C02"/>
    <w:rsid w:val="00344647"/>
    <w:rsid w:val="003454D6"/>
    <w:rsid w:val="00362CA0"/>
    <w:rsid w:val="00370E3D"/>
    <w:rsid w:val="00381AC7"/>
    <w:rsid w:val="003910C1"/>
    <w:rsid w:val="0039335C"/>
    <w:rsid w:val="00394CAA"/>
    <w:rsid w:val="003A7A8C"/>
    <w:rsid w:val="003C2A65"/>
    <w:rsid w:val="003C6080"/>
    <w:rsid w:val="003C6395"/>
    <w:rsid w:val="003D1090"/>
    <w:rsid w:val="003E1CAC"/>
    <w:rsid w:val="003E6E96"/>
    <w:rsid w:val="003F3617"/>
    <w:rsid w:val="00445882"/>
    <w:rsid w:val="004614B5"/>
    <w:rsid w:val="00472288"/>
    <w:rsid w:val="00497F27"/>
    <w:rsid w:val="004A1B80"/>
    <w:rsid w:val="004A6824"/>
    <w:rsid w:val="004B0F14"/>
    <w:rsid w:val="004C4816"/>
    <w:rsid w:val="004E3C30"/>
    <w:rsid w:val="004F3CCB"/>
    <w:rsid w:val="0051654F"/>
    <w:rsid w:val="005312F0"/>
    <w:rsid w:val="005367F3"/>
    <w:rsid w:val="00543D4E"/>
    <w:rsid w:val="00545E86"/>
    <w:rsid w:val="005735C9"/>
    <w:rsid w:val="00573AEE"/>
    <w:rsid w:val="00577CEC"/>
    <w:rsid w:val="00582BB4"/>
    <w:rsid w:val="00591408"/>
    <w:rsid w:val="005930E3"/>
    <w:rsid w:val="005967C0"/>
    <w:rsid w:val="005A2FCB"/>
    <w:rsid w:val="005D4C8A"/>
    <w:rsid w:val="005D581D"/>
    <w:rsid w:val="005E067C"/>
    <w:rsid w:val="005E0C70"/>
    <w:rsid w:val="005E1D5D"/>
    <w:rsid w:val="005F2D51"/>
    <w:rsid w:val="00612AF6"/>
    <w:rsid w:val="006165B1"/>
    <w:rsid w:val="00627932"/>
    <w:rsid w:val="00645C01"/>
    <w:rsid w:val="006519CE"/>
    <w:rsid w:val="006575A6"/>
    <w:rsid w:val="00663558"/>
    <w:rsid w:val="00674DEA"/>
    <w:rsid w:val="006D0C0E"/>
    <w:rsid w:val="006D5E2A"/>
    <w:rsid w:val="006E00B9"/>
    <w:rsid w:val="007215E7"/>
    <w:rsid w:val="0073277A"/>
    <w:rsid w:val="00735230"/>
    <w:rsid w:val="007410B1"/>
    <w:rsid w:val="00764B86"/>
    <w:rsid w:val="00776066"/>
    <w:rsid w:val="0078735C"/>
    <w:rsid w:val="007A65F4"/>
    <w:rsid w:val="007B0E4F"/>
    <w:rsid w:val="007C1B33"/>
    <w:rsid w:val="007C34C4"/>
    <w:rsid w:val="007F50F9"/>
    <w:rsid w:val="00810B8A"/>
    <w:rsid w:val="00835C13"/>
    <w:rsid w:val="00835D34"/>
    <w:rsid w:val="0086098E"/>
    <w:rsid w:val="008874F4"/>
    <w:rsid w:val="00895ABD"/>
    <w:rsid w:val="00897AF9"/>
    <w:rsid w:val="008B4A2B"/>
    <w:rsid w:val="008C7793"/>
    <w:rsid w:val="008D6114"/>
    <w:rsid w:val="008E11B5"/>
    <w:rsid w:val="008E68F8"/>
    <w:rsid w:val="008F3DC3"/>
    <w:rsid w:val="00911DEA"/>
    <w:rsid w:val="009253B9"/>
    <w:rsid w:val="00933401"/>
    <w:rsid w:val="009375C0"/>
    <w:rsid w:val="009500DE"/>
    <w:rsid w:val="00954289"/>
    <w:rsid w:val="009706A4"/>
    <w:rsid w:val="0097690A"/>
    <w:rsid w:val="00981149"/>
    <w:rsid w:val="0098150C"/>
    <w:rsid w:val="00991311"/>
    <w:rsid w:val="00992E53"/>
    <w:rsid w:val="009943EC"/>
    <w:rsid w:val="00996021"/>
    <w:rsid w:val="009A0D78"/>
    <w:rsid w:val="009A37BE"/>
    <w:rsid w:val="009B5D25"/>
    <w:rsid w:val="009C445A"/>
    <w:rsid w:val="009D5362"/>
    <w:rsid w:val="009E07EF"/>
    <w:rsid w:val="009E38BD"/>
    <w:rsid w:val="009F41A7"/>
    <w:rsid w:val="009F4800"/>
    <w:rsid w:val="009F4FAC"/>
    <w:rsid w:val="00A0417C"/>
    <w:rsid w:val="00A123AF"/>
    <w:rsid w:val="00A161E9"/>
    <w:rsid w:val="00A27EDB"/>
    <w:rsid w:val="00A3156F"/>
    <w:rsid w:val="00A4444F"/>
    <w:rsid w:val="00A4507A"/>
    <w:rsid w:val="00A548C9"/>
    <w:rsid w:val="00A61926"/>
    <w:rsid w:val="00A7083C"/>
    <w:rsid w:val="00AC7062"/>
    <w:rsid w:val="00AD3EF7"/>
    <w:rsid w:val="00AE03CA"/>
    <w:rsid w:val="00AF00DD"/>
    <w:rsid w:val="00B13361"/>
    <w:rsid w:val="00B17D6F"/>
    <w:rsid w:val="00B30594"/>
    <w:rsid w:val="00B63E25"/>
    <w:rsid w:val="00B768C6"/>
    <w:rsid w:val="00B93188"/>
    <w:rsid w:val="00BA20E9"/>
    <w:rsid w:val="00BA7C61"/>
    <w:rsid w:val="00BC1DB7"/>
    <w:rsid w:val="00BD7F46"/>
    <w:rsid w:val="00BE2BEF"/>
    <w:rsid w:val="00BE3F8B"/>
    <w:rsid w:val="00BF004B"/>
    <w:rsid w:val="00C116CE"/>
    <w:rsid w:val="00C32CA5"/>
    <w:rsid w:val="00C450FF"/>
    <w:rsid w:val="00C638E5"/>
    <w:rsid w:val="00C810AB"/>
    <w:rsid w:val="00C92C76"/>
    <w:rsid w:val="00CA0C5F"/>
    <w:rsid w:val="00CB6C3C"/>
    <w:rsid w:val="00CC6B95"/>
    <w:rsid w:val="00CF7659"/>
    <w:rsid w:val="00D04737"/>
    <w:rsid w:val="00D07422"/>
    <w:rsid w:val="00D10083"/>
    <w:rsid w:val="00D1084C"/>
    <w:rsid w:val="00D12BA9"/>
    <w:rsid w:val="00D14EDD"/>
    <w:rsid w:val="00D4520E"/>
    <w:rsid w:val="00D459F1"/>
    <w:rsid w:val="00D575BF"/>
    <w:rsid w:val="00D64EAB"/>
    <w:rsid w:val="00D81CD5"/>
    <w:rsid w:val="00DA0EC4"/>
    <w:rsid w:val="00DB0C79"/>
    <w:rsid w:val="00DB1C49"/>
    <w:rsid w:val="00DC2AC6"/>
    <w:rsid w:val="00DE1CF3"/>
    <w:rsid w:val="00DE5A58"/>
    <w:rsid w:val="00DF2233"/>
    <w:rsid w:val="00DF33EA"/>
    <w:rsid w:val="00E027C0"/>
    <w:rsid w:val="00E532D9"/>
    <w:rsid w:val="00E54B2A"/>
    <w:rsid w:val="00E72222"/>
    <w:rsid w:val="00E8031B"/>
    <w:rsid w:val="00E90061"/>
    <w:rsid w:val="00E91D78"/>
    <w:rsid w:val="00EA76DD"/>
    <w:rsid w:val="00EB374A"/>
    <w:rsid w:val="00EC32F8"/>
    <w:rsid w:val="00F358EB"/>
    <w:rsid w:val="00F359F5"/>
    <w:rsid w:val="00F42980"/>
    <w:rsid w:val="00F43ACF"/>
    <w:rsid w:val="00F5529C"/>
    <w:rsid w:val="00F63687"/>
    <w:rsid w:val="00F84FF4"/>
    <w:rsid w:val="00F96A67"/>
    <w:rsid w:val="00FA3F6B"/>
    <w:rsid w:val="00FA4A14"/>
    <w:rsid w:val="00FA5AB8"/>
    <w:rsid w:val="00FB4FBA"/>
    <w:rsid w:val="00FB51B4"/>
    <w:rsid w:val="00FC0B3A"/>
    <w:rsid w:val="00FC5BEF"/>
    <w:rsid w:val="00FF2BA6"/>
    <w:rsid w:val="21E746A7"/>
    <w:rsid w:val="31D15D57"/>
    <w:rsid w:val="6D2E4993"/>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uiPriority w:val="99"/>
    <w:rPr>
      <w:sz w:val="18"/>
      <w:szCs w:val="18"/>
    </w:rPr>
  </w:style>
  <w:style w:type="character" w:customStyle="1" w:styleId="8">
    <w:name w:val="页脚 Char"/>
    <w:basedOn w:val="5"/>
    <w:link w:val="3"/>
    <w:uiPriority w:val="99"/>
    <w:rPr>
      <w:sz w:val="18"/>
      <w:szCs w:val="18"/>
    </w:rPr>
  </w:style>
  <w:style w:type="paragraph" w:customStyle="1" w:styleId="9">
    <w:name w:val="List Paragraph"/>
    <w:basedOn w:val="1"/>
    <w:qFormat/>
    <w:uiPriority w:val="34"/>
    <w:pPr>
      <w:ind w:firstLine="420" w:firstLineChars="200"/>
    </w:pPr>
  </w:style>
  <w:style w:type="character" w:customStyle="1" w:styleId="10">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5</Pages>
  <Words>383</Words>
  <Characters>2186</Characters>
  <Lines>18</Lines>
  <Paragraphs>5</Paragraphs>
  <TotalTime>0</TotalTime>
  <ScaleCrop>false</ScaleCrop>
  <LinksUpToDate>false</LinksUpToDate>
  <CharactersWithSpaces>2564</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2018-11-15T02:49:00Z</dcterms:created>
  <dc:creator>系统管理员</dc:creator>
  <cp:lastModifiedBy>系统管理员</cp:lastModifiedBy>
  <cp:lastPrinted>2020-06-24T06:27:00Z</cp:lastPrinted>
  <dcterms:modified xsi:type="dcterms:W3CDTF">2020-06-26T01:42:11Z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