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00" w:lineRule="auto"/>
        <w:jc w:val="center"/>
        <w:rPr>
          <w:rFonts w:hint="default" w:ascii="Times New Roman" w:hAnsi="Times New Roman" w:eastAsia="宋体" w:cs="Times New Roman"/>
          <w:b/>
          <w:bCs/>
          <w:sz w:val="36"/>
          <w:szCs w:val="36"/>
        </w:rPr>
      </w:pPr>
      <w:r>
        <w:rPr>
          <w:rFonts w:hint="default" w:ascii="Times New Roman" w:hAnsi="Times New Roman" w:eastAsia="宋体" w:cs="Times New Roman"/>
          <w:b/>
          <w:bCs/>
          <w:sz w:val="36"/>
          <w:szCs w:val="36"/>
        </w:rPr>
        <w:t>南通大学理学院</w:t>
      </w:r>
      <w:r>
        <w:rPr>
          <w:rFonts w:hint="default" w:ascii="Times New Roman" w:hAnsi="Times New Roman" w:eastAsia="宋体" w:cs="Times New Roman"/>
          <w:b/>
          <w:bCs/>
          <w:sz w:val="36"/>
          <w:szCs w:val="36"/>
          <w:lang w:val="en-US" w:eastAsia="zh-CN"/>
        </w:rPr>
        <w:t>2019级</w:t>
      </w:r>
      <w:r>
        <w:rPr>
          <w:rFonts w:hint="default" w:ascii="Times New Roman" w:hAnsi="Times New Roman" w:eastAsia="宋体" w:cs="Times New Roman"/>
          <w:b/>
          <w:bCs/>
          <w:sz w:val="36"/>
          <w:szCs w:val="36"/>
        </w:rPr>
        <w:t>全日制</w:t>
      </w:r>
      <w:r>
        <w:rPr>
          <w:rFonts w:hint="eastAsia" w:ascii="Times New Roman" w:hAnsi="Times New Roman" w:eastAsia="宋体" w:cs="Times New Roman"/>
          <w:b/>
          <w:bCs/>
          <w:sz w:val="36"/>
          <w:szCs w:val="36"/>
          <w:lang w:eastAsia="zh-CN"/>
        </w:rPr>
        <w:t>普通</w:t>
      </w:r>
      <w:r>
        <w:rPr>
          <w:rFonts w:hint="default" w:ascii="Times New Roman" w:hAnsi="Times New Roman" w:eastAsia="宋体" w:cs="Times New Roman"/>
          <w:b/>
          <w:bCs/>
          <w:sz w:val="36"/>
          <w:szCs w:val="36"/>
        </w:rPr>
        <w:t>本科生</w:t>
      </w:r>
      <w:r>
        <w:rPr>
          <w:rFonts w:hint="eastAsia" w:ascii="Times New Roman" w:hAnsi="Times New Roman" w:eastAsia="宋体" w:cs="Times New Roman"/>
          <w:b/>
          <w:bCs/>
          <w:sz w:val="36"/>
          <w:szCs w:val="36"/>
          <w:lang w:eastAsia="zh-CN"/>
        </w:rPr>
        <w:t>转</w:t>
      </w:r>
      <w:r>
        <w:rPr>
          <w:rFonts w:hint="default" w:ascii="Times New Roman" w:hAnsi="Times New Roman" w:eastAsia="宋体" w:cs="Times New Roman"/>
          <w:b/>
          <w:bCs/>
          <w:sz w:val="36"/>
          <w:szCs w:val="36"/>
        </w:rPr>
        <w:t>专业</w:t>
      </w:r>
    </w:p>
    <w:p>
      <w:pPr>
        <w:spacing w:line="300" w:lineRule="auto"/>
        <w:jc w:val="center"/>
        <w:rPr>
          <w:rFonts w:hint="default" w:ascii="Times New Roman" w:hAnsi="Times New Roman" w:cs="Times New Roman"/>
          <w:b/>
          <w:bCs/>
          <w:sz w:val="36"/>
          <w:szCs w:val="36"/>
        </w:rPr>
      </w:pPr>
      <w:r>
        <w:rPr>
          <w:rFonts w:hint="default" w:ascii="Times New Roman" w:hAnsi="Times New Roman" w:eastAsia="宋体" w:cs="Times New Roman"/>
          <w:b/>
          <w:bCs/>
          <w:sz w:val="36"/>
          <w:szCs w:val="36"/>
        </w:rPr>
        <w:t>方案</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教育部《普通高等学校学生管理规定》、《江苏省教育厅关于加强普通高等学校学生转专业工作管理的指导意见》、《南通大学全日制普通本科学生学籍管理规定》、《南通大学全日制普通本科学生转专业实施办法》等有关文件精神，结合学院的办学条件，经学院党政联席会议研究</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制定201</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-2学期全日制本科学生各专业转入考核方案。</w:t>
      </w:r>
    </w:p>
    <w:p>
      <w:pPr>
        <w:spacing w:line="56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 各专业允许转入人数：</w:t>
      </w:r>
    </w:p>
    <w:tbl>
      <w:tblPr>
        <w:tblStyle w:val="4"/>
        <w:tblW w:w="7800" w:type="dxa"/>
        <w:tblInd w:w="783" w:type="dxa"/>
        <w:tblLayout w:type="fixed"/>
        <w:tblCellMar>
          <w:top w:w="0" w:type="dxa"/>
          <w:left w:w="108" w:type="dxa"/>
          <w:bottom w:w="0" w:type="dxa"/>
          <w:right w:w="108" w:type="dxa"/>
        </w:tblCellMar>
      </w:tblPr>
      <w:tblGrid>
        <w:gridCol w:w="4003"/>
        <w:gridCol w:w="3797"/>
      </w:tblGrid>
      <w:tr>
        <w:tblPrEx>
          <w:tblLayout w:type="fixed"/>
          <w:tblCellMar>
            <w:top w:w="0" w:type="dxa"/>
            <w:left w:w="108" w:type="dxa"/>
            <w:bottom w:w="0" w:type="dxa"/>
            <w:right w:w="108" w:type="dxa"/>
          </w:tblCellMar>
        </w:tblPrEx>
        <w:tc>
          <w:tcPr>
            <w:tcW w:w="4003" w:type="dxa"/>
            <w:tcBorders>
              <w:top w:val="single" w:color="auto" w:sz="4" w:space="0"/>
              <w:left w:val="single" w:color="auto" w:sz="4" w:space="0"/>
              <w:bottom w:val="single" w:color="auto" w:sz="4" w:space="0"/>
              <w:right w:val="single" w:color="auto" w:sz="4" w:space="0"/>
            </w:tcBorders>
          </w:tcPr>
          <w:p>
            <w:pPr>
              <w:spacing w:line="560" w:lineRule="exact"/>
              <w:ind w:firstLine="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专业名称</w:t>
            </w:r>
          </w:p>
        </w:tc>
        <w:tc>
          <w:tcPr>
            <w:tcW w:w="3797" w:type="dxa"/>
            <w:tcBorders>
              <w:top w:val="single" w:color="auto" w:sz="4" w:space="0"/>
              <w:left w:val="nil"/>
              <w:bottom w:val="single" w:color="auto" w:sz="4" w:space="0"/>
              <w:right w:val="single" w:color="auto" w:sz="4" w:space="0"/>
            </w:tcBorders>
          </w:tcPr>
          <w:p>
            <w:pPr>
              <w:spacing w:line="560" w:lineRule="exact"/>
              <w:ind w:firstLine="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允许转入人数</w:t>
            </w:r>
          </w:p>
        </w:tc>
      </w:tr>
      <w:tr>
        <w:tblPrEx>
          <w:tblLayout w:type="fixed"/>
          <w:tblCellMar>
            <w:top w:w="0" w:type="dxa"/>
            <w:left w:w="108" w:type="dxa"/>
            <w:bottom w:w="0" w:type="dxa"/>
            <w:right w:w="108" w:type="dxa"/>
          </w:tblCellMar>
        </w:tblPrEx>
        <w:tc>
          <w:tcPr>
            <w:tcW w:w="4003" w:type="dxa"/>
            <w:tcBorders>
              <w:top w:val="single" w:color="auto" w:sz="4" w:space="0"/>
              <w:left w:val="single" w:color="auto" w:sz="4" w:space="0"/>
              <w:bottom w:val="single" w:color="auto" w:sz="4" w:space="0"/>
              <w:right w:val="single" w:color="auto" w:sz="4" w:space="0"/>
            </w:tcBorders>
            <w:vAlign w:val="center"/>
          </w:tcPr>
          <w:p>
            <w:pPr>
              <w:spacing w:line="560" w:lineRule="exact"/>
              <w:ind w:firstLine="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数学与应用数学（师范）</w:t>
            </w:r>
          </w:p>
        </w:tc>
        <w:tc>
          <w:tcPr>
            <w:tcW w:w="3797" w:type="dxa"/>
            <w:tcBorders>
              <w:top w:val="single" w:color="auto" w:sz="4" w:space="0"/>
              <w:left w:val="nil"/>
              <w:bottom w:val="single" w:color="auto" w:sz="4" w:space="0"/>
              <w:right w:val="single" w:color="auto" w:sz="4" w:space="0"/>
            </w:tcBorders>
          </w:tcPr>
          <w:p>
            <w:pPr>
              <w:spacing w:line="560" w:lineRule="exact"/>
              <w:ind w:firstLine="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lang w:val="en-US" w:eastAsia="zh-CN"/>
              </w:rPr>
              <w:t>9</w:t>
            </w:r>
            <w:r>
              <w:rPr>
                <w:rFonts w:hint="default" w:ascii="Times New Roman" w:hAnsi="Times New Roman" w:eastAsia="仿宋" w:cs="Times New Roman"/>
                <w:sz w:val="32"/>
                <w:szCs w:val="32"/>
              </w:rPr>
              <w:t>级5人，</w:t>
            </w:r>
            <w:r>
              <w:rPr>
                <w:rFonts w:hint="default" w:ascii="Times New Roman" w:hAnsi="Times New Roman" w:eastAsia="仿宋" w:cs="Times New Roman"/>
                <w:sz w:val="32"/>
                <w:szCs w:val="32"/>
                <w:lang w:val="en-US" w:eastAsia="zh-CN"/>
              </w:rPr>
              <w:t>20</w:t>
            </w:r>
            <w:r>
              <w:rPr>
                <w:rFonts w:hint="default" w:ascii="Times New Roman" w:hAnsi="Times New Roman" w:eastAsia="仿宋" w:cs="Times New Roman"/>
                <w:sz w:val="32"/>
                <w:szCs w:val="32"/>
              </w:rPr>
              <w:t>级</w:t>
            </w:r>
            <w:r>
              <w:rPr>
                <w:rFonts w:hint="default" w:ascii="Times New Roman" w:hAnsi="Times New Roman" w:eastAsia="仿宋" w:cs="Times New Roman"/>
                <w:sz w:val="32"/>
                <w:szCs w:val="32"/>
                <w:lang w:val="en-US" w:eastAsia="zh-CN"/>
              </w:rPr>
              <w:t>10</w:t>
            </w:r>
            <w:r>
              <w:rPr>
                <w:rFonts w:hint="default" w:ascii="Times New Roman" w:hAnsi="Times New Roman" w:eastAsia="仿宋" w:cs="Times New Roman"/>
                <w:sz w:val="32"/>
                <w:szCs w:val="32"/>
              </w:rPr>
              <w:t>人</w:t>
            </w:r>
          </w:p>
        </w:tc>
      </w:tr>
      <w:tr>
        <w:tblPrEx>
          <w:tblLayout w:type="fixed"/>
          <w:tblCellMar>
            <w:top w:w="0" w:type="dxa"/>
            <w:left w:w="108" w:type="dxa"/>
            <w:bottom w:w="0" w:type="dxa"/>
            <w:right w:w="108" w:type="dxa"/>
          </w:tblCellMar>
        </w:tblPrEx>
        <w:tc>
          <w:tcPr>
            <w:tcW w:w="4003" w:type="dxa"/>
            <w:tcBorders>
              <w:top w:val="single" w:color="auto" w:sz="4" w:space="0"/>
              <w:left w:val="single" w:color="auto" w:sz="4" w:space="0"/>
              <w:bottom w:val="single" w:color="auto" w:sz="4" w:space="0"/>
              <w:right w:val="single" w:color="auto" w:sz="4" w:space="0"/>
            </w:tcBorders>
            <w:vAlign w:val="center"/>
          </w:tcPr>
          <w:p>
            <w:pPr>
              <w:spacing w:line="560" w:lineRule="exact"/>
              <w:ind w:firstLine="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应用统计学</w:t>
            </w:r>
          </w:p>
        </w:tc>
        <w:tc>
          <w:tcPr>
            <w:tcW w:w="3797" w:type="dxa"/>
            <w:tcBorders>
              <w:top w:val="single" w:color="auto" w:sz="4" w:space="0"/>
              <w:left w:val="nil"/>
              <w:bottom w:val="single" w:color="auto" w:sz="4" w:space="0"/>
              <w:right w:val="single" w:color="auto" w:sz="4" w:space="0"/>
            </w:tcBorders>
          </w:tcPr>
          <w:p>
            <w:pPr>
              <w:spacing w:line="560" w:lineRule="exact"/>
              <w:ind w:firstLine="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lang w:val="en-US" w:eastAsia="zh-CN"/>
              </w:rPr>
              <w:t>9</w:t>
            </w:r>
            <w:r>
              <w:rPr>
                <w:rFonts w:hint="default" w:ascii="Times New Roman" w:hAnsi="Times New Roman" w:eastAsia="仿宋" w:cs="Times New Roman"/>
                <w:sz w:val="32"/>
                <w:szCs w:val="32"/>
              </w:rPr>
              <w:t>级5人，</w:t>
            </w:r>
            <w:r>
              <w:rPr>
                <w:rFonts w:hint="default" w:ascii="Times New Roman" w:hAnsi="Times New Roman" w:eastAsia="仿宋" w:cs="Times New Roman"/>
                <w:sz w:val="32"/>
                <w:szCs w:val="32"/>
                <w:lang w:val="en-US" w:eastAsia="zh-CN"/>
              </w:rPr>
              <w:t>20</w:t>
            </w:r>
            <w:r>
              <w:rPr>
                <w:rFonts w:hint="default" w:ascii="Times New Roman" w:hAnsi="Times New Roman" w:eastAsia="仿宋" w:cs="Times New Roman"/>
                <w:sz w:val="32"/>
                <w:szCs w:val="32"/>
              </w:rPr>
              <w:t>级</w:t>
            </w:r>
            <w:r>
              <w:rPr>
                <w:rFonts w:hint="default" w:ascii="Times New Roman" w:hAnsi="Times New Roman" w:eastAsia="仿宋" w:cs="Times New Roman"/>
                <w:sz w:val="32"/>
                <w:szCs w:val="32"/>
                <w:lang w:val="en-US" w:eastAsia="zh-CN"/>
              </w:rPr>
              <w:t>10</w:t>
            </w:r>
            <w:r>
              <w:rPr>
                <w:rFonts w:hint="default" w:ascii="Times New Roman" w:hAnsi="Times New Roman" w:eastAsia="仿宋" w:cs="Times New Roman"/>
                <w:sz w:val="32"/>
                <w:szCs w:val="32"/>
              </w:rPr>
              <w:t>人</w:t>
            </w:r>
          </w:p>
        </w:tc>
      </w:tr>
      <w:tr>
        <w:tblPrEx>
          <w:tblLayout w:type="fixed"/>
          <w:tblCellMar>
            <w:top w:w="0" w:type="dxa"/>
            <w:left w:w="108" w:type="dxa"/>
            <w:bottom w:w="0" w:type="dxa"/>
            <w:right w:w="108" w:type="dxa"/>
          </w:tblCellMar>
        </w:tblPrEx>
        <w:tc>
          <w:tcPr>
            <w:tcW w:w="4003" w:type="dxa"/>
            <w:tcBorders>
              <w:top w:val="single" w:color="auto" w:sz="4" w:space="0"/>
              <w:left w:val="single" w:color="auto" w:sz="4" w:space="0"/>
              <w:bottom w:val="single" w:color="auto" w:sz="4" w:space="0"/>
              <w:right w:val="single" w:color="auto" w:sz="4" w:space="0"/>
            </w:tcBorders>
            <w:vAlign w:val="center"/>
          </w:tcPr>
          <w:p>
            <w:pPr>
              <w:spacing w:line="560" w:lineRule="exact"/>
              <w:ind w:firstLine="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物理学（师范）</w:t>
            </w:r>
          </w:p>
        </w:tc>
        <w:tc>
          <w:tcPr>
            <w:tcW w:w="3797" w:type="dxa"/>
            <w:tcBorders>
              <w:top w:val="single" w:color="auto" w:sz="4" w:space="0"/>
              <w:left w:val="nil"/>
              <w:bottom w:val="single" w:color="auto" w:sz="4" w:space="0"/>
              <w:right w:val="single" w:color="auto" w:sz="4" w:space="0"/>
            </w:tcBorders>
          </w:tcPr>
          <w:p>
            <w:pPr>
              <w:spacing w:line="560" w:lineRule="exact"/>
              <w:ind w:firstLine="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lang w:val="en-US" w:eastAsia="zh-CN"/>
              </w:rPr>
              <w:t>9</w:t>
            </w:r>
            <w:r>
              <w:rPr>
                <w:rFonts w:hint="default" w:ascii="Times New Roman" w:hAnsi="Times New Roman" w:eastAsia="仿宋" w:cs="Times New Roman"/>
                <w:sz w:val="32"/>
                <w:szCs w:val="32"/>
              </w:rPr>
              <w:t>级</w:t>
            </w:r>
            <w:r>
              <w:rPr>
                <w:rFonts w:hint="default"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人，</w:t>
            </w:r>
            <w:r>
              <w:rPr>
                <w:rFonts w:hint="default" w:ascii="Times New Roman" w:hAnsi="Times New Roman" w:eastAsia="仿宋" w:cs="Times New Roman"/>
                <w:sz w:val="32"/>
                <w:szCs w:val="32"/>
                <w:lang w:val="en-US" w:eastAsia="zh-CN"/>
              </w:rPr>
              <w:t>20</w:t>
            </w:r>
            <w:r>
              <w:rPr>
                <w:rFonts w:hint="default" w:ascii="Times New Roman" w:hAnsi="Times New Roman" w:eastAsia="仿宋" w:cs="Times New Roman"/>
                <w:sz w:val="32"/>
                <w:szCs w:val="32"/>
              </w:rPr>
              <w:t>级</w:t>
            </w:r>
            <w:r>
              <w:rPr>
                <w:rFonts w:hint="default" w:ascii="Times New Roman" w:hAnsi="Times New Roman" w:eastAsia="仿宋" w:cs="Times New Roman"/>
                <w:sz w:val="32"/>
                <w:szCs w:val="32"/>
                <w:lang w:val="en-US" w:eastAsia="zh-CN"/>
              </w:rPr>
              <w:t>10</w:t>
            </w:r>
            <w:r>
              <w:rPr>
                <w:rFonts w:hint="default" w:ascii="Times New Roman" w:hAnsi="Times New Roman" w:eastAsia="仿宋" w:cs="Times New Roman"/>
                <w:sz w:val="32"/>
                <w:szCs w:val="32"/>
              </w:rPr>
              <w:t>人</w:t>
            </w:r>
          </w:p>
        </w:tc>
      </w:tr>
      <w:tr>
        <w:tblPrEx>
          <w:tblLayout w:type="fixed"/>
          <w:tblCellMar>
            <w:top w:w="0" w:type="dxa"/>
            <w:left w:w="108" w:type="dxa"/>
            <w:bottom w:w="0" w:type="dxa"/>
            <w:right w:w="108" w:type="dxa"/>
          </w:tblCellMar>
        </w:tblPrEx>
        <w:tc>
          <w:tcPr>
            <w:tcW w:w="4003" w:type="dxa"/>
            <w:tcBorders>
              <w:top w:val="single" w:color="auto" w:sz="4" w:space="0"/>
              <w:left w:val="single" w:color="auto" w:sz="4" w:space="0"/>
              <w:bottom w:val="single" w:color="auto" w:sz="4" w:space="0"/>
              <w:right w:val="single" w:color="auto" w:sz="4" w:space="0"/>
            </w:tcBorders>
            <w:vAlign w:val="center"/>
          </w:tcPr>
          <w:p>
            <w:pPr>
              <w:spacing w:line="560" w:lineRule="exact"/>
              <w:ind w:firstLine="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光</w:t>
            </w:r>
            <w:r>
              <w:rPr>
                <w:rFonts w:hint="default" w:ascii="Times New Roman" w:hAnsi="Times New Roman" w:eastAsia="仿宋" w:cs="Times New Roman"/>
                <w:sz w:val="32"/>
                <w:szCs w:val="32"/>
                <w:lang w:val="en-US" w:eastAsia="zh-CN"/>
              </w:rPr>
              <w:t>电</w:t>
            </w:r>
            <w:r>
              <w:rPr>
                <w:rFonts w:hint="default" w:ascii="Times New Roman" w:hAnsi="Times New Roman" w:eastAsia="仿宋" w:cs="Times New Roman"/>
                <w:sz w:val="32"/>
                <w:szCs w:val="32"/>
              </w:rPr>
              <w:t>信息科学与工程</w:t>
            </w:r>
          </w:p>
        </w:tc>
        <w:tc>
          <w:tcPr>
            <w:tcW w:w="3797" w:type="dxa"/>
            <w:tcBorders>
              <w:top w:val="single" w:color="auto" w:sz="4" w:space="0"/>
              <w:left w:val="nil"/>
              <w:bottom w:val="single" w:color="auto" w:sz="4" w:space="0"/>
              <w:right w:val="single" w:color="auto" w:sz="4" w:space="0"/>
            </w:tcBorders>
          </w:tcPr>
          <w:p>
            <w:pPr>
              <w:spacing w:line="560" w:lineRule="exact"/>
              <w:ind w:firstLine="200"/>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19</w:t>
            </w:r>
            <w:r>
              <w:rPr>
                <w:rFonts w:hint="default" w:ascii="Times New Roman" w:hAnsi="Times New Roman" w:eastAsia="仿宋" w:cs="Times New Roman"/>
                <w:sz w:val="32"/>
                <w:szCs w:val="32"/>
              </w:rPr>
              <w:t>级</w:t>
            </w:r>
            <w:r>
              <w:rPr>
                <w:rFonts w:hint="default" w:ascii="Times New Roman" w:hAnsi="Times New Roman" w:eastAsia="仿宋" w:cs="Times New Roman"/>
                <w:sz w:val="32"/>
                <w:szCs w:val="32"/>
                <w:lang w:val="en-US" w:eastAsia="zh-CN"/>
              </w:rPr>
              <w:t>10</w:t>
            </w:r>
            <w:r>
              <w:rPr>
                <w:rFonts w:hint="default" w:ascii="Times New Roman" w:hAnsi="Times New Roman" w:eastAsia="仿宋" w:cs="Times New Roman"/>
                <w:sz w:val="32"/>
                <w:szCs w:val="32"/>
              </w:rPr>
              <w:t>人，</w:t>
            </w:r>
            <w:r>
              <w:rPr>
                <w:rFonts w:hint="default" w:ascii="Times New Roman" w:hAnsi="Times New Roman" w:eastAsia="仿宋" w:cs="Times New Roman"/>
                <w:sz w:val="32"/>
                <w:szCs w:val="32"/>
                <w:lang w:val="en-US" w:eastAsia="zh-CN"/>
              </w:rPr>
              <w:t>20</w:t>
            </w:r>
            <w:r>
              <w:rPr>
                <w:rFonts w:hint="default" w:ascii="Times New Roman" w:hAnsi="Times New Roman" w:eastAsia="仿宋" w:cs="Times New Roman"/>
                <w:sz w:val="32"/>
                <w:szCs w:val="32"/>
              </w:rPr>
              <w:t>级</w:t>
            </w:r>
            <w:r>
              <w:rPr>
                <w:rFonts w:hint="default" w:ascii="Times New Roman" w:hAnsi="Times New Roman" w:eastAsia="仿宋" w:cs="Times New Roman"/>
                <w:sz w:val="32"/>
                <w:szCs w:val="32"/>
                <w:lang w:val="en-US" w:eastAsia="zh-CN"/>
              </w:rPr>
              <w:t>10</w:t>
            </w:r>
            <w:r>
              <w:rPr>
                <w:rFonts w:hint="default" w:ascii="Times New Roman" w:hAnsi="Times New Roman" w:eastAsia="仿宋" w:cs="Times New Roman"/>
                <w:sz w:val="32"/>
                <w:szCs w:val="32"/>
              </w:rPr>
              <w:t>人</w:t>
            </w:r>
          </w:p>
        </w:tc>
      </w:tr>
    </w:tbl>
    <w:p>
      <w:pPr>
        <w:numPr>
          <w:ilvl w:val="0"/>
          <w:numId w:val="1"/>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学院</w:t>
      </w:r>
      <w:r>
        <w:rPr>
          <w:rFonts w:hint="default" w:ascii="Times New Roman" w:hAnsi="Times New Roman" w:eastAsia="仿宋_GB2312" w:cs="Times New Roman"/>
          <w:sz w:val="32"/>
          <w:szCs w:val="32"/>
        </w:rPr>
        <w:t>考核方式为</w:t>
      </w:r>
      <w:r>
        <w:rPr>
          <w:rFonts w:hint="default" w:ascii="Times New Roman" w:hAnsi="Times New Roman" w:eastAsia="仿宋_GB2312" w:cs="Times New Roman"/>
          <w:sz w:val="32"/>
          <w:szCs w:val="32"/>
          <w:lang w:val="en-US" w:eastAsia="zh-CN"/>
        </w:rPr>
        <w:t>面试，具体时间地点在理学院网站公布，请对照通大处教</w:t>
      </w:r>
      <w:r>
        <w:rPr>
          <w:rFonts w:hint="default" w:ascii="Times New Roman" w:hAnsi="Times New Roman" w:eastAsia="仿宋" w:cs="Times New Roman"/>
          <w:color w:val="auto"/>
          <w:sz w:val="32"/>
          <w:szCs w:val="32"/>
        </w:rPr>
        <w:t>〔20</w:t>
      </w:r>
      <w:r>
        <w:rPr>
          <w:rFonts w:hint="default" w:ascii="Times New Roman" w:hAnsi="Times New Roman" w:eastAsia="仿宋" w:cs="Times New Roman"/>
          <w:color w:val="auto"/>
          <w:sz w:val="32"/>
          <w:szCs w:val="32"/>
          <w:lang w:val="en-US" w:eastAsia="zh-CN"/>
        </w:rPr>
        <w:t>20</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val="en-US" w:eastAsia="zh-CN"/>
        </w:rPr>
        <w:t>26</w:t>
      </w:r>
      <w:r>
        <w:rPr>
          <w:rFonts w:hint="default" w:ascii="Times New Roman" w:hAnsi="Times New Roman" w:eastAsia="仿宋" w:cs="Times New Roman"/>
          <w:color w:val="auto"/>
          <w:sz w:val="32"/>
          <w:szCs w:val="32"/>
        </w:rPr>
        <w:t>号</w:t>
      </w:r>
      <w:r>
        <w:rPr>
          <w:rFonts w:hint="default" w:ascii="Times New Roman" w:hAnsi="Times New Roman" w:eastAsia="仿宋_GB2312" w:cs="Times New Roman"/>
          <w:sz w:val="32"/>
          <w:szCs w:val="32"/>
          <w:lang w:val="en-US" w:eastAsia="zh-CN"/>
        </w:rPr>
        <w:t>文，</w:t>
      </w:r>
      <w:r>
        <w:rPr>
          <w:rFonts w:hint="default" w:ascii="Times New Roman" w:hAnsi="Times New Roman" w:eastAsia="仿宋_GB2312" w:cs="Times New Roman"/>
          <w:sz w:val="32"/>
          <w:szCs w:val="32"/>
        </w:rPr>
        <w:t>需参加</w:t>
      </w:r>
      <w:r>
        <w:rPr>
          <w:rFonts w:hint="default" w:ascii="Times New Roman" w:hAnsi="Times New Roman" w:eastAsia="仿宋_GB2312" w:cs="Times New Roman"/>
          <w:sz w:val="32"/>
          <w:szCs w:val="32"/>
          <w:lang w:val="en-US" w:eastAsia="zh-CN"/>
        </w:rPr>
        <w:t>学院</w:t>
      </w:r>
      <w:r>
        <w:rPr>
          <w:rFonts w:hint="default" w:ascii="Times New Roman" w:hAnsi="Times New Roman" w:eastAsia="仿宋_GB2312" w:cs="Times New Roman"/>
          <w:sz w:val="32"/>
          <w:szCs w:val="32"/>
        </w:rPr>
        <w:t>组织的考核</w:t>
      </w:r>
      <w:r>
        <w:rPr>
          <w:rFonts w:hint="default" w:ascii="Times New Roman" w:hAnsi="Times New Roman" w:eastAsia="仿宋_GB2312" w:cs="Times New Roman"/>
          <w:sz w:val="32"/>
          <w:szCs w:val="32"/>
          <w:lang w:val="en-US" w:eastAsia="zh-CN"/>
        </w:rPr>
        <w:t>的考生及时关注理学院网站，缺席者按自动放弃处理</w:t>
      </w:r>
      <w:r>
        <w:rPr>
          <w:rFonts w:hint="default" w:ascii="Times New Roman" w:hAnsi="Times New Roman" w:eastAsia="仿宋_GB2312" w:cs="Times New Roman"/>
          <w:sz w:val="32"/>
          <w:szCs w:val="32"/>
        </w:rPr>
        <w:t>。</w:t>
      </w:r>
    </w:p>
    <w:p>
      <w:pPr>
        <w:numPr>
          <w:ilvl w:val="0"/>
          <w:numId w:val="0"/>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面试</w:t>
      </w:r>
      <w:r>
        <w:rPr>
          <w:rFonts w:hint="default" w:ascii="Times New Roman" w:hAnsi="Times New Roman" w:eastAsia="仿宋_GB2312" w:cs="Times New Roman"/>
          <w:sz w:val="32"/>
          <w:szCs w:val="32"/>
          <w:lang w:val="en-US" w:eastAsia="zh-CN"/>
        </w:rPr>
        <w:t>内容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主要</w:t>
      </w:r>
      <w:r>
        <w:rPr>
          <w:rFonts w:hint="default" w:ascii="Times New Roman" w:hAnsi="Times New Roman" w:eastAsia="仿宋_GB2312" w:cs="Times New Roman"/>
          <w:sz w:val="32"/>
          <w:szCs w:val="32"/>
        </w:rPr>
        <w:t>考察</w:t>
      </w:r>
      <w:r>
        <w:rPr>
          <w:rFonts w:hint="default" w:ascii="Times New Roman" w:hAnsi="Times New Roman" w:eastAsia="仿宋" w:cs="Times New Roman"/>
          <w:kern w:val="0"/>
          <w:sz w:val="32"/>
          <w:szCs w:val="32"/>
        </w:rPr>
        <w:t>专业所需的数学（数学专业）、物理（物理专业）方面的知识水平和能力以及学生的综合素质，</w:t>
      </w:r>
      <w:r>
        <w:rPr>
          <w:rFonts w:hint="default" w:ascii="Times New Roman" w:hAnsi="Times New Roman" w:eastAsia="仿宋" w:cs="Times New Roman"/>
          <w:kern w:val="0"/>
          <w:sz w:val="32"/>
          <w:szCs w:val="32"/>
          <w:lang w:val="en-US" w:eastAsia="zh-CN"/>
        </w:rPr>
        <w:t>申请</w:t>
      </w:r>
      <w:r>
        <w:rPr>
          <w:rFonts w:hint="default" w:ascii="Times New Roman" w:hAnsi="Times New Roman" w:eastAsia="仿宋" w:cs="Times New Roman"/>
          <w:kern w:val="0"/>
          <w:sz w:val="32"/>
          <w:szCs w:val="32"/>
        </w:rPr>
        <w:t>转</w:t>
      </w:r>
      <w:r>
        <w:rPr>
          <w:rFonts w:hint="default" w:ascii="Times New Roman" w:hAnsi="Times New Roman" w:eastAsia="仿宋" w:cs="Times New Roman"/>
          <w:kern w:val="0"/>
          <w:sz w:val="32"/>
          <w:szCs w:val="32"/>
          <w:lang w:val="en-US" w:eastAsia="zh-CN"/>
        </w:rPr>
        <w:t>入</w:t>
      </w:r>
      <w:r>
        <w:rPr>
          <w:rFonts w:hint="default" w:ascii="Times New Roman" w:hAnsi="Times New Roman" w:eastAsia="仿宋" w:cs="Times New Roman"/>
          <w:kern w:val="0"/>
          <w:sz w:val="32"/>
          <w:szCs w:val="32"/>
        </w:rPr>
        <w:t>师范专业的</w:t>
      </w:r>
      <w:r>
        <w:rPr>
          <w:rFonts w:hint="default" w:ascii="Times New Roman" w:hAnsi="Times New Roman" w:eastAsia="仿宋" w:cs="Times New Roman"/>
          <w:kern w:val="0"/>
          <w:sz w:val="32"/>
          <w:szCs w:val="32"/>
          <w:lang w:val="en-US" w:eastAsia="zh-CN"/>
        </w:rPr>
        <w:t>还将</w:t>
      </w:r>
      <w:r>
        <w:rPr>
          <w:rFonts w:hint="default" w:ascii="Times New Roman" w:hAnsi="Times New Roman" w:eastAsia="仿宋" w:cs="Times New Roman"/>
          <w:kern w:val="0"/>
          <w:sz w:val="32"/>
          <w:szCs w:val="32"/>
        </w:rPr>
        <w:t>考核语言表达</w:t>
      </w:r>
      <w:r>
        <w:rPr>
          <w:rFonts w:hint="default" w:ascii="Times New Roman" w:hAnsi="Times New Roman" w:eastAsia="仿宋" w:cs="Times New Roman"/>
          <w:kern w:val="0"/>
          <w:sz w:val="32"/>
          <w:szCs w:val="32"/>
          <w:lang w:val="en-US" w:eastAsia="zh-CN"/>
        </w:rPr>
        <w:t>能力</w:t>
      </w:r>
      <w:r>
        <w:rPr>
          <w:rFonts w:hint="default" w:ascii="Times New Roman" w:hAnsi="Times New Roman" w:eastAsia="仿宋" w:cs="Times New Roman"/>
          <w:kern w:val="0"/>
          <w:sz w:val="32"/>
          <w:szCs w:val="32"/>
          <w:lang w:eastAsia="zh-CN"/>
        </w:rPr>
        <w:t>，</w:t>
      </w:r>
      <w:r>
        <w:rPr>
          <w:rFonts w:hint="default" w:ascii="Times New Roman" w:hAnsi="Times New Roman" w:eastAsia="仿宋_GB2312" w:cs="Times New Roman"/>
          <w:sz w:val="32"/>
          <w:szCs w:val="32"/>
        </w:rPr>
        <w:t>总分</w:t>
      </w:r>
      <w:r>
        <w:rPr>
          <w:rFonts w:hint="default" w:ascii="Times New Roman" w:hAnsi="Times New Roman" w:eastAsia="仿宋_GB2312" w:cs="Times New Roman"/>
          <w:sz w:val="32"/>
          <w:szCs w:val="32"/>
          <w:lang w:val="en-US" w:eastAsia="zh-CN"/>
        </w:rPr>
        <w:t>为</w:t>
      </w:r>
      <w:r>
        <w:rPr>
          <w:rFonts w:hint="default" w:ascii="Times New Roman" w:hAnsi="Times New Roman" w:eastAsia="仿宋" w:cs="Times New Roman"/>
          <w:sz w:val="32"/>
          <w:szCs w:val="32"/>
        </w:rPr>
        <w:t>100</w:t>
      </w:r>
      <w:r>
        <w:rPr>
          <w:rFonts w:hint="default" w:ascii="Times New Roman" w:hAnsi="Times New Roman" w:eastAsia="仿宋_GB2312" w:cs="Times New Roman"/>
          <w:sz w:val="32"/>
          <w:szCs w:val="32"/>
        </w:rPr>
        <w:t>分（保留小数点后两位）</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注：</w:t>
      </w:r>
      <w:r>
        <w:rPr>
          <w:rFonts w:hint="default" w:ascii="Times New Roman" w:hAnsi="Times New Roman" w:eastAsia="仿宋_GB2312" w:cs="Times New Roman"/>
          <w:sz w:val="32"/>
          <w:szCs w:val="32"/>
        </w:rPr>
        <w:t>学生抽签决定面试顺</w:t>
      </w:r>
      <w:r>
        <w:rPr>
          <w:rFonts w:hint="default" w:ascii="Times New Roman" w:hAnsi="Times New Roman" w:eastAsia="仿宋_GB2312" w:cs="Times New Roman"/>
          <w:sz w:val="32"/>
          <w:szCs w:val="32"/>
          <w:lang w:val="en-US" w:eastAsia="zh-CN"/>
        </w:rPr>
        <w:t>序</w:t>
      </w:r>
      <w:r>
        <w:rPr>
          <w:rFonts w:hint="default" w:ascii="Times New Roman" w:hAnsi="Times New Roman" w:eastAsia="仿宋_GB2312" w:cs="Times New Roman"/>
          <w:sz w:val="32"/>
          <w:szCs w:val="32"/>
        </w:rPr>
        <w:t>。</w:t>
      </w:r>
    </w:p>
    <w:p>
      <w:pPr>
        <w:spacing w:line="360" w:lineRule="auto"/>
        <w:ind w:firstLine="640" w:firstLineChars="200"/>
        <w:rPr>
          <w:rFonts w:hint="default" w:ascii="Times New Roman" w:hAnsi="Times New Roman" w:eastAsia="仿宋" w:cs="Times New Roman"/>
          <w:kern w:val="0"/>
          <w:sz w:val="32"/>
          <w:szCs w:val="32"/>
          <w:lang w:val="en-US" w:eastAsia="zh-CN"/>
        </w:rPr>
      </w:pPr>
      <w:r>
        <w:rPr>
          <w:rFonts w:hint="default" w:ascii="Times New Roman" w:hAnsi="Times New Roman" w:eastAsia="仿宋" w:cs="Times New Roman"/>
          <w:kern w:val="0"/>
          <w:sz w:val="32"/>
          <w:szCs w:val="32"/>
          <w:lang w:val="en-US" w:eastAsia="zh-CN"/>
        </w:rPr>
        <w:t xml:space="preserve">（2）面试流程：数学和物理两个学科分别面试，每个学科面试专家由5人组成，由学院纪委委员或校特邀监察员在面试前一天从学院面试专家中随机抽取确定并通知。面试成绩按面试专家打分的平均分计算，当场告知学生，由学生签字确认。 </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val="en-US" w:eastAsia="zh-CN"/>
        </w:rPr>
        <w:t>3</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val="en-US" w:eastAsia="zh-CN"/>
        </w:rPr>
        <w:t>参加了学校组织的英语考试的专业，</w:t>
      </w:r>
      <w:r>
        <w:rPr>
          <w:rFonts w:hint="default" w:ascii="Times New Roman" w:hAnsi="Times New Roman" w:eastAsia="仿宋_GB2312" w:cs="Times New Roman"/>
          <w:color w:val="auto"/>
          <w:sz w:val="32"/>
          <w:szCs w:val="32"/>
        </w:rPr>
        <w:t>考核总成绩</w:t>
      </w:r>
      <w:r>
        <w:rPr>
          <w:rFonts w:hint="default" w:ascii="Times New Roman" w:hAnsi="Times New Roman" w:eastAsia="仿宋_GB2312" w:cs="Times New Roman"/>
          <w:color w:val="auto"/>
          <w:sz w:val="32"/>
          <w:szCs w:val="32"/>
          <w:lang w:val="en-US" w:eastAsia="zh-CN"/>
        </w:rPr>
        <w:t>由英语笔试成绩</w:t>
      </w:r>
      <w:r>
        <w:rPr>
          <w:rFonts w:hint="default" w:ascii="Times New Roman" w:hAnsi="Times New Roman" w:eastAsia="仿宋_GB2312" w:cs="Times New Roman"/>
          <w:color w:val="auto"/>
          <w:sz w:val="32"/>
          <w:szCs w:val="32"/>
        </w:rPr>
        <w:t>和</w:t>
      </w:r>
      <w:r>
        <w:rPr>
          <w:rFonts w:hint="default" w:ascii="Times New Roman" w:hAnsi="Times New Roman" w:eastAsia="仿宋_GB2312" w:cs="Times New Roman"/>
          <w:color w:val="auto"/>
          <w:sz w:val="32"/>
          <w:szCs w:val="32"/>
          <w:lang w:val="en-US" w:eastAsia="zh-CN"/>
        </w:rPr>
        <w:t>学院</w:t>
      </w:r>
      <w:r>
        <w:rPr>
          <w:rFonts w:hint="default" w:ascii="Times New Roman" w:hAnsi="Times New Roman" w:eastAsia="仿宋_GB2312" w:cs="Times New Roman"/>
          <w:color w:val="auto"/>
          <w:sz w:val="32"/>
          <w:szCs w:val="32"/>
        </w:rPr>
        <w:t>面试</w:t>
      </w:r>
      <w:r>
        <w:rPr>
          <w:rFonts w:hint="default" w:ascii="Times New Roman" w:hAnsi="Times New Roman" w:eastAsia="仿宋_GB2312" w:cs="Times New Roman"/>
          <w:color w:val="auto"/>
          <w:sz w:val="32"/>
          <w:szCs w:val="32"/>
          <w:lang w:val="en-US" w:eastAsia="zh-CN"/>
        </w:rPr>
        <w:t>成绩</w:t>
      </w:r>
      <w:r>
        <w:rPr>
          <w:rFonts w:hint="default" w:ascii="Times New Roman" w:hAnsi="Times New Roman" w:eastAsia="仿宋_GB2312" w:cs="Times New Roman"/>
          <w:color w:val="auto"/>
          <w:sz w:val="32"/>
          <w:szCs w:val="32"/>
        </w:rPr>
        <w:t>两部分组成，各占50%，保留小数点后两位</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不需参加学校组织的英语考试但需参加学院考核的专业，面试成绩即为</w:t>
      </w:r>
      <w:r>
        <w:rPr>
          <w:rFonts w:hint="default" w:ascii="Times New Roman" w:hAnsi="Times New Roman" w:eastAsia="仿宋_GB2312" w:cs="Times New Roman"/>
          <w:color w:val="auto"/>
          <w:sz w:val="32"/>
          <w:szCs w:val="32"/>
        </w:rPr>
        <w:t>考核总成绩。</w:t>
      </w:r>
    </w:p>
    <w:p>
      <w:pPr>
        <w:spacing w:line="360" w:lineRule="auto"/>
        <w:ind w:firstLine="640" w:firstLineChars="200"/>
        <w:rPr>
          <w:rFonts w:hint="default" w:ascii="Times New Roman" w:hAnsi="Times New Roman" w:eastAsia="仿宋" w:cs="Times New Roman"/>
          <w:kern w:val="0"/>
          <w:sz w:val="32"/>
          <w:szCs w:val="32"/>
          <w:lang w:val="en-US" w:eastAsia="zh-CN"/>
        </w:rPr>
      </w:pPr>
      <w:r>
        <w:rPr>
          <w:rFonts w:hint="default" w:ascii="Times New Roman" w:hAnsi="Times New Roman" w:eastAsia="仿宋" w:cs="Times New Roman"/>
          <w:kern w:val="0"/>
          <w:sz w:val="32"/>
          <w:szCs w:val="32"/>
          <w:lang w:val="en-US" w:eastAsia="zh-CN"/>
        </w:rPr>
        <w:t>（4）学院纪委委员或校特邀监察员对转专业考核过程进行全程监督。</w:t>
      </w:r>
    </w:p>
    <w:p>
      <w:pPr>
        <w:numPr>
          <w:numId w:val="0"/>
        </w:numPr>
        <w:spacing w:line="560" w:lineRule="exact"/>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lang w:val="en-US" w:eastAsia="zh-CN"/>
        </w:rPr>
        <w:t>申请转入2019</w:t>
      </w:r>
      <w:r>
        <w:rPr>
          <w:rFonts w:hint="default" w:ascii="Times New Roman" w:hAnsi="Times New Roman" w:eastAsia="仿宋" w:cs="Times New Roman"/>
          <w:sz w:val="32"/>
          <w:szCs w:val="32"/>
        </w:rPr>
        <w:t>级学习的学生，须获得下表所列拟转入专业的学科基础课程二分之一及以上学分：</w:t>
      </w:r>
    </w:p>
    <w:tbl>
      <w:tblPr>
        <w:tblStyle w:val="4"/>
        <w:tblW w:w="8946" w:type="dxa"/>
        <w:tblInd w:w="93" w:type="dxa"/>
        <w:tblLayout w:type="fixed"/>
        <w:tblCellMar>
          <w:top w:w="0" w:type="dxa"/>
          <w:left w:w="108" w:type="dxa"/>
          <w:bottom w:w="0" w:type="dxa"/>
          <w:right w:w="108" w:type="dxa"/>
        </w:tblCellMar>
      </w:tblPr>
      <w:tblGrid>
        <w:gridCol w:w="1980"/>
        <w:gridCol w:w="1775"/>
        <w:gridCol w:w="2662"/>
        <w:gridCol w:w="738"/>
        <w:gridCol w:w="687"/>
        <w:gridCol w:w="1104"/>
      </w:tblGrid>
      <w:tr>
        <w:tblPrEx>
          <w:tblLayout w:type="fixed"/>
          <w:tblCellMar>
            <w:top w:w="0" w:type="dxa"/>
            <w:left w:w="108" w:type="dxa"/>
            <w:bottom w:w="0" w:type="dxa"/>
            <w:right w:w="108" w:type="dxa"/>
          </w:tblCellMar>
        </w:tblPrEx>
        <w:trPr>
          <w:trHeight w:val="285" w:hRule="atLeast"/>
        </w:trPr>
        <w:tc>
          <w:tcPr>
            <w:tcW w:w="1980" w:type="dxa"/>
            <w:tcBorders>
              <w:top w:val="single" w:color="auto" w:sz="8" w:space="0"/>
              <w:left w:val="single" w:color="auto" w:sz="8" w:space="0"/>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专业</w:t>
            </w:r>
          </w:p>
        </w:tc>
        <w:tc>
          <w:tcPr>
            <w:tcW w:w="1775" w:type="dxa"/>
            <w:tcBorders>
              <w:top w:val="single" w:color="auto" w:sz="8" w:space="0"/>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课程号</w:t>
            </w:r>
          </w:p>
        </w:tc>
        <w:tc>
          <w:tcPr>
            <w:tcW w:w="2662" w:type="dxa"/>
            <w:tcBorders>
              <w:top w:val="single" w:color="auto" w:sz="8" w:space="0"/>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课程名称</w:t>
            </w:r>
          </w:p>
        </w:tc>
        <w:tc>
          <w:tcPr>
            <w:tcW w:w="738" w:type="dxa"/>
            <w:tcBorders>
              <w:top w:val="single" w:color="auto" w:sz="8" w:space="0"/>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学时</w:t>
            </w:r>
          </w:p>
        </w:tc>
        <w:tc>
          <w:tcPr>
            <w:tcW w:w="687" w:type="dxa"/>
            <w:tcBorders>
              <w:top w:val="single" w:color="auto" w:sz="8" w:space="0"/>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学分</w:t>
            </w:r>
          </w:p>
        </w:tc>
        <w:tc>
          <w:tcPr>
            <w:tcW w:w="1104" w:type="dxa"/>
            <w:tcBorders>
              <w:top w:val="single" w:color="auto" w:sz="8" w:space="0"/>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备注</w:t>
            </w:r>
          </w:p>
        </w:tc>
      </w:tr>
      <w:tr>
        <w:tblPrEx>
          <w:tblLayout w:type="fixed"/>
          <w:tblCellMar>
            <w:top w:w="0" w:type="dxa"/>
            <w:left w:w="108" w:type="dxa"/>
            <w:bottom w:w="0" w:type="dxa"/>
            <w:right w:w="108" w:type="dxa"/>
          </w:tblCellMar>
        </w:tblPrEx>
        <w:trPr>
          <w:trHeight w:val="354" w:hRule="atLeast"/>
        </w:trPr>
        <w:tc>
          <w:tcPr>
            <w:tcW w:w="1980" w:type="dxa"/>
            <w:vMerge w:val="restart"/>
            <w:tcBorders>
              <w:top w:val="nil"/>
              <w:left w:val="single" w:color="auto" w:sz="8" w:space="0"/>
              <w:right w:val="single" w:color="auto" w:sz="8" w:space="0"/>
            </w:tcBorders>
            <w:vAlign w:val="center"/>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数学与应用数学（师范）</w:t>
            </w: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176021160</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数学分析（一）</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90</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5</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top"/>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176021158</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数学分析（二）</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108</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5</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top"/>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176131006</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高级语言程序设计Python</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72</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3.5</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top"/>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176021072</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高等代数（一）</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88</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5</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top"/>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176021071</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高等代数（二）</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88</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5</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bottom w:val="single" w:color="000000" w:sz="8" w:space="0"/>
              <w:right w:val="single" w:color="auto" w:sz="8" w:space="0"/>
            </w:tcBorders>
            <w:vAlign w:val="top"/>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176021117</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解析几何</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48</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3</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restart"/>
            <w:tcBorders>
              <w:top w:val="nil"/>
              <w:left w:val="single" w:color="auto" w:sz="8"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rPr>
              <w:t>物理学（师范）</w:t>
            </w:r>
          </w:p>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176021001</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高等数学A（一）</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96</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6</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176021002</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高等数学A（二）</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80</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5</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176021129</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力学</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72</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4</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176021141</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热学</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54</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3</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914" w:hRule="atLeast"/>
        </w:trPr>
        <w:tc>
          <w:tcPr>
            <w:tcW w:w="1980" w:type="dxa"/>
            <w:vMerge w:val="continue"/>
            <w:tcBorders>
              <w:left w:val="single" w:color="auto" w:sz="8"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4"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176021136</w:t>
            </w:r>
          </w:p>
        </w:tc>
        <w:tc>
          <w:tcPr>
            <w:tcW w:w="2662" w:type="dxa"/>
            <w:tcBorders>
              <w:top w:val="nil"/>
              <w:left w:val="nil"/>
              <w:bottom w:val="single" w:color="auto" w:sz="4"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普通物理实验（一）</w:t>
            </w:r>
          </w:p>
        </w:tc>
        <w:tc>
          <w:tcPr>
            <w:tcW w:w="738" w:type="dxa"/>
            <w:tcBorders>
              <w:top w:val="nil"/>
              <w:left w:val="nil"/>
              <w:bottom w:val="single" w:color="auto" w:sz="4"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42</w:t>
            </w:r>
          </w:p>
        </w:tc>
        <w:tc>
          <w:tcPr>
            <w:tcW w:w="687" w:type="dxa"/>
            <w:tcBorders>
              <w:top w:val="nil"/>
              <w:left w:val="nil"/>
              <w:bottom w:val="single" w:color="auto" w:sz="4"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w:t>
            </w:r>
          </w:p>
        </w:tc>
        <w:tc>
          <w:tcPr>
            <w:tcW w:w="1104" w:type="dxa"/>
            <w:tcBorders>
              <w:top w:val="nil"/>
              <w:left w:val="nil"/>
              <w:bottom w:val="single" w:color="auto" w:sz="4"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200" w:hRule="atLeast"/>
        </w:trPr>
        <w:tc>
          <w:tcPr>
            <w:tcW w:w="1980" w:type="dxa"/>
            <w:vMerge w:val="continue"/>
            <w:tcBorders>
              <w:left w:val="single" w:color="auto" w:sz="8"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p>
        </w:tc>
        <w:tc>
          <w:tcPr>
            <w:tcW w:w="1775" w:type="dxa"/>
            <w:tcBorders>
              <w:top w:val="single" w:color="auto" w:sz="4" w:space="0"/>
              <w:left w:val="nil"/>
              <w:bottom w:val="single" w:color="auto" w:sz="8" w:space="0"/>
              <w:right w:val="single" w:color="auto" w:sz="8" w:space="0"/>
            </w:tcBorders>
            <w:vAlign w:val="top"/>
          </w:tcPr>
          <w:p>
            <w:pPr>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176021018</w:t>
            </w:r>
          </w:p>
        </w:tc>
        <w:tc>
          <w:tcPr>
            <w:tcW w:w="2662" w:type="dxa"/>
            <w:tcBorders>
              <w:top w:val="single" w:color="auto" w:sz="4" w:space="0"/>
              <w:left w:val="nil"/>
              <w:bottom w:val="single" w:color="auto" w:sz="8" w:space="0"/>
              <w:right w:val="single" w:color="auto" w:sz="8" w:space="0"/>
            </w:tcBorders>
            <w:vAlign w:val="top"/>
          </w:tcPr>
          <w:p>
            <w:pPr>
              <w:spacing w:line="560" w:lineRule="exact"/>
              <w:ind w:firstLine="320" w:firstLineChars="100"/>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线性代数B</w:t>
            </w:r>
          </w:p>
        </w:tc>
        <w:tc>
          <w:tcPr>
            <w:tcW w:w="738" w:type="dxa"/>
            <w:tcBorders>
              <w:top w:val="single" w:color="auto" w:sz="4" w:space="0"/>
              <w:left w:val="nil"/>
              <w:bottom w:val="single" w:color="auto" w:sz="8" w:space="0"/>
              <w:right w:val="single" w:color="auto" w:sz="8" w:space="0"/>
            </w:tcBorders>
            <w:vAlign w:val="top"/>
          </w:tcPr>
          <w:p>
            <w:pPr>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32</w:t>
            </w:r>
          </w:p>
        </w:tc>
        <w:tc>
          <w:tcPr>
            <w:tcW w:w="687" w:type="dxa"/>
            <w:tcBorders>
              <w:top w:val="single" w:color="auto" w:sz="4" w:space="0"/>
              <w:left w:val="nil"/>
              <w:bottom w:val="single" w:color="auto" w:sz="8" w:space="0"/>
              <w:right w:val="single" w:color="auto" w:sz="8" w:space="0"/>
            </w:tcBorders>
            <w:vAlign w:val="top"/>
          </w:tcPr>
          <w:p>
            <w:pPr>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2</w:t>
            </w:r>
          </w:p>
        </w:tc>
        <w:tc>
          <w:tcPr>
            <w:tcW w:w="1104" w:type="dxa"/>
            <w:tcBorders>
              <w:top w:val="single" w:color="auto" w:sz="4" w:space="0"/>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bottom w:val="single" w:color="000000" w:sz="8"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176131003</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高级语言程序设计C</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72</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3.5</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restart"/>
            <w:tcBorders>
              <w:top w:val="nil"/>
              <w:left w:val="single" w:color="auto" w:sz="8"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rPr>
              <w:t>应用统计学</w:t>
            </w:r>
          </w:p>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176131006</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高级语言程序设计Python</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72</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3.5</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lang w:val="en-US" w:eastAsia="zh-CN"/>
              </w:rPr>
            </w:pPr>
            <w:r>
              <w:rPr>
                <w:rFonts w:hint="default" w:ascii="Times New Roman" w:hAnsi="Times New Roman" w:eastAsia="仿宋" w:cs="Times New Roman"/>
                <w:color w:val="000000"/>
                <w:kern w:val="0"/>
                <w:sz w:val="32"/>
                <w:szCs w:val="32"/>
                <w:lang w:val="en-US" w:eastAsia="zh-CN"/>
              </w:rPr>
              <w:t>196021002</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数学分析（</w:t>
            </w:r>
            <w:r>
              <w:rPr>
                <w:rFonts w:hint="default" w:ascii="Times New Roman" w:hAnsi="Times New Roman" w:eastAsia="仿宋" w:cs="Times New Roman"/>
                <w:color w:val="000000"/>
                <w:kern w:val="0"/>
                <w:sz w:val="32"/>
                <w:szCs w:val="32"/>
                <w:lang w:val="en-US" w:eastAsia="zh-CN"/>
              </w:rPr>
              <w:t>一</w:t>
            </w:r>
            <w:r>
              <w:rPr>
                <w:rFonts w:hint="default" w:ascii="Times New Roman" w:hAnsi="Times New Roman" w:eastAsia="仿宋" w:cs="Times New Roman"/>
                <w:color w:val="000000"/>
                <w:kern w:val="0"/>
                <w:sz w:val="32"/>
                <w:szCs w:val="32"/>
              </w:rPr>
              <w:t>）</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lang w:val="en-US" w:eastAsia="zh-CN"/>
              </w:rPr>
            </w:pPr>
            <w:r>
              <w:rPr>
                <w:rFonts w:hint="default" w:ascii="Times New Roman" w:hAnsi="Times New Roman" w:eastAsia="仿宋" w:cs="Times New Roman"/>
                <w:color w:val="000000"/>
                <w:kern w:val="0"/>
                <w:sz w:val="32"/>
                <w:szCs w:val="32"/>
                <w:lang w:val="en-US" w:eastAsia="zh-CN"/>
              </w:rPr>
              <w:t>108</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lang w:eastAsia="zh-CN"/>
              </w:rPr>
            </w:pPr>
            <w:r>
              <w:rPr>
                <w:rFonts w:hint="default" w:ascii="Times New Roman" w:hAnsi="Times New Roman" w:eastAsia="仿宋" w:cs="Times New Roman"/>
                <w:color w:val="000000"/>
                <w:kern w:val="0"/>
                <w:sz w:val="32"/>
                <w:szCs w:val="32"/>
                <w:lang w:val="en-US" w:eastAsia="zh-CN"/>
              </w:rPr>
              <w:t>6</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lang w:val="en-US" w:eastAsia="zh-CN"/>
              </w:rPr>
            </w:pPr>
            <w:r>
              <w:rPr>
                <w:rFonts w:hint="default" w:ascii="Times New Roman" w:hAnsi="Times New Roman" w:eastAsia="仿宋" w:cs="Times New Roman"/>
                <w:color w:val="000000"/>
                <w:kern w:val="0"/>
                <w:sz w:val="32"/>
                <w:szCs w:val="32"/>
                <w:lang w:val="en-US" w:eastAsia="zh-CN"/>
              </w:rPr>
              <w:t>196021003</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数学分析（</w:t>
            </w:r>
            <w:r>
              <w:rPr>
                <w:rFonts w:hint="default" w:ascii="Times New Roman" w:hAnsi="Times New Roman" w:eastAsia="仿宋" w:cs="Times New Roman"/>
                <w:color w:val="000000"/>
                <w:kern w:val="0"/>
                <w:sz w:val="32"/>
                <w:szCs w:val="32"/>
                <w:lang w:val="en-US" w:eastAsia="zh-CN"/>
              </w:rPr>
              <w:t>二</w:t>
            </w:r>
            <w:r>
              <w:rPr>
                <w:rFonts w:hint="default" w:ascii="Times New Roman" w:hAnsi="Times New Roman" w:eastAsia="仿宋" w:cs="Times New Roman"/>
                <w:color w:val="000000"/>
                <w:kern w:val="0"/>
                <w:sz w:val="32"/>
                <w:szCs w:val="32"/>
              </w:rPr>
              <w:t>）</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lang w:val="en-US" w:eastAsia="zh-CN"/>
              </w:rPr>
            </w:pPr>
            <w:r>
              <w:rPr>
                <w:rFonts w:hint="default" w:ascii="Times New Roman" w:hAnsi="Times New Roman" w:eastAsia="仿宋" w:cs="Times New Roman"/>
                <w:color w:val="000000"/>
                <w:kern w:val="0"/>
                <w:sz w:val="32"/>
                <w:szCs w:val="32"/>
                <w:lang w:val="en-US" w:eastAsia="zh-CN"/>
              </w:rPr>
              <w:t>108</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lang w:eastAsia="zh-CN"/>
              </w:rPr>
            </w:pPr>
            <w:r>
              <w:rPr>
                <w:rFonts w:hint="default" w:ascii="Times New Roman" w:hAnsi="Times New Roman" w:eastAsia="仿宋" w:cs="Times New Roman"/>
                <w:color w:val="000000"/>
                <w:kern w:val="0"/>
                <w:sz w:val="32"/>
                <w:szCs w:val="32"/>
                <w:lang w:val="en-US" w:eastAsia="zh-CN"/>
              </w:rPr>
              <w:t>6</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lang w:val="en-US" w:eastAsia="zh-CN"/>
              </w:rPr>
            </w:pPr>
            <w:r>
              <w:rPr>
                <w:rFonts w:hint="default" w:ascii="Times New Roman" w:hAnsi="Times New Roman" w:eastAsia="仿宋" w:cs="Times New Roman"/>
                <w:color w:val="000000"/>
                <w:kern w:val="0"/>
                <w:sz w:val="32"/>
                <w:szCs w:val="32"/>
                <w:lang w:val="en-US" w:eastAsia="zh-CN"/>
              </w:rPr>
              <w:t>196021007</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lang w:val="en-US" w:eastAsia="zh-CN"/>
              </w:rPr>
            </w:pPr>
            <w:r>
              <w:rPr>
                <w:rFonts w:hint="default" w:ascii="Times New Roman" w:hAnsi="Times New Roman" w:eastAsia="仿宋" w:cs="Times New Roman"/>
                <w:color w:val="000000"/>
                <w:kern w:val="0"/>
                <w:sz w:val="32"/>
                <w:szCs w:val="32"/>
                <w:lang w:val="en-US" w:eastAsia="zh-CN"/>
              </w:rPr>
              <w:t>概率论</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lang w:val="en-US" w:eastAsia="zh-CN"/>
              </w:rPr>
            </w:pPr>
            <w:r>
              <w:rPr>
                <w:rFonts w:hint="default" w:ascii="Times New Roman" w:hAnsi="Times New Roman" w:eastAsia="仿宋" w:cs="Times New Roman"/>
                <w:color w:val="000000"/>
                <w:kern w:val="0"/>
                <w:sz w:val="32"/>
                <w:szCs w:val="32"/>
                <w:lang w:val="en-US" w:eastAsia="zh-CN"/>
              </w:rPr>
              <w:t>64</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lang w:val="en-US" w:eastAsia="zh-CN"/>
              </w:rPr>
            </w:pPr>
            <w:r>
              <w:rPr>
                <w:rFonts w:hint="default" w:ascii="Times New Roman" w:hAnsi="Times New Roman" w:eastAsia="仿宋" w:cs="Times New Roman"/>
                <w:color w:val="000000"/>
                <w:kern w:val="0"/>
                <w:sz w:val="32"/>
                <w:szCs w:val="32"/>
                <w:lang w:val="en-US" w:eastAsia="zh-CN"/>
              </w:rPr>
              <w:t>4</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bottom w:val="single" w:color="auto" w:sz="4"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4"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lang w:val="en-US" w:eastAsia="zh-CN"/>
              </w:rPr>
            </w:pPr>
            <w:r>
              <w:rPr>
                <w:rFonts w:hint="default" w:ascii="Times New Roman" w:hAnsi="Times New Roman" w:eastAsia="仿宋" w:cs="Times New Roman"/>
                <w:color w:val="000000"/>
                <w:kern w:val="0"/>
                <w:sz w:val="32"/>
                <w:szCs w:val="32"/>
                <w:lang w:val="en-US" w:eastAsia="zh-CN"/>
              </w:rPr>
              <w:t>196021005</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lang w:val="en-US" w:eastAsia="zh-CN"/>
              </w:rPr>
              <w:t>线性</w:t>
            </w:r>
            <w:r>
              <w:rPr>
                <w:rFonts w:hint="default" w:ascii="Times New Roman" w:hAnsi="Times New Roman" w:eastAsia="仿宋" w:cs="Times New Roman"/>
                <w:color w:val="000000"/>
                <w:kern w:val="0"/>
                <w:sz w:val="32"/>
                <w:szCs w:val="32"/>
              </w:rPr>
              <w:t>代数</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90</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5</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restart"/>
            <w:tcBorders>
              <w:top w:val="single" w:color="auto" w:sz="4" w:space="0"/>
              <w:left w:val="single" w:color="auto" w:sz="8" w:space="0"/>
              <w:right w:val="single" w:color="auto" w:sz="8" w:space="0"/>
            </w:tcBorders>
            <w:vAlign w:val="center"/>
          </w:tcPr>
          <w:p>
            <w:pPr>
              <w:spacing w:line="560" w:lineRule="exact"/>
              <w:jc w:val="center"/>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rPr>
              <w:t>光电信息科学与工程</w:t>
            </w:r>
          </w:p>
          <w:p>
            <w:pPr>
              <w:spacing w:line="560" w:lineRule="exact"/>
              <w:jc w:val="center"/>
              <w:rPr>
                <w:rFonts w:hint="default" w:ascii="Times New Roman" w:hAnsi="Times New Roman" w:eastAsia="仿宋" w:cs="Times New Roman"/>
                <w:sz w:val="32"/>
                <w:szCs w:val="32"/>
              </w:rPr>
            </w:pPr>
          </w:p>
        </w:tc>
        <w:tc>
          <w:tcPr>
            <w:tcW w:w="1775" w:type="dxa"/>
            <w:tcBorders>
              <w:top w:val="single" w:color="auto" w:sz="4" w:space="0"/>
              <w:left w:val="nil"/>
              <w:bottom w:val="single" w:color="auto" w:sz="8" w:space="0"/>
              <w:right w:val="single" w:color="auto" w:sz="8" w:space="0"/>
            </w:tcBorders>
            <w:vAlign w:val="center"/>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176021101</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基础物理学（一）</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48</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3</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top"/>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center"/>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176021100</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基础物理学（二）</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64</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4</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top"/>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center"/>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176131003</w:t>
            </w:r>
          </w:p>
        </w:tc>
        <w:tc>
          <w:tcPr>
            <w:tcW w:w="2662" w:type="dxa"/>
            <w:tcBorders>
              <w:top w:val="nil"/>
              <w:left w:val="nil"/>
              <w:bottom w:val="single" w:color="auto" w:sz="8" w:space="0"/>
              <w:right w:val="single" w:color="auto" w:sz="8" w:space="0"/>
            </w:tcBorders>
            <w:vAlign w:val="center"/>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高级语言程序设计C</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72</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3.5</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top"/>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center"/>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176021001</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高等数学A（一）</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96</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6</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right w:val="single" w:color="auto" w:sz="8" w:space="0"/>
            </w:tcBorders>
            <w:vAlign w:val="top"/>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center"/>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176021002</w:t>
            </w:r>
          </w:p>
        </w:tc>
        <w:tc>
          <w:tcPr>
            <w:tcW w:w="2662"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高等数学A（二）</w:t>
            </w:r>
          </w:p>
        </w:tc>
        <w:tc>
          <w:tcPr>
            <w:tcW w:w="738"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80</w:t>
            </w:r>
          </w:p>
        </w:tc>
        <w:tc>
          <w:tcPr>
            <w:tcW w:w="687"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5</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r>
        <w:tblPrEx>
          <w:tblLayout w:type="fixed"/>
          <w:tblCellMar>
            <w:top w:w="0" w:type="dxa"/>
            <w:left w:w="108" w:type="dxa"/>
            <w:bottom w:w="0" w:type="dxa"/>
            <w:right w:w="108" w:type="dxa"/>
          </w:tblCellMar>
        </w:tblPrEx>
        <w:trPr>
          <w:trHeight w:val="300" w:hRule="atLeast"/>
        </w:trPr>
        <w:tc>
          <w:tcPr>
            <w:tcW w:w="1980" w:type="dxa"/>
            <w:vMerge w:val="continue"/>
            <w:tcBorders>
              <w:left w:val="single" w:color="auto" w:sz="8" w:space="0"/>
              <w:bottom w:val="single" w:color="000000" w:sz="8" w:space="0"/>
              <w:right w:val="single" w:color="auto" w:sz="8" w:space="0"/>
            </w:tcBorders>
            <w:vAlign w:val="top"/>
          </w:tcPr>
          <w:p>
            <w:pPr>
              <w:spacing w:line="560" w:lineRule="exact"/>
              <w:jc w:val="center"/>
              <w:rPr>
                <w:rFonts w:hint="default" w:ascii="Times New Roman" w:hAnsi="Times New Roman" w:eastAsia="仿宋" w:cs="Times New Roman"/>
                <w:sz w:val="32"/>
                <w:szCs w:val="32"/>
              </w:rPr>
            </w:pPr>
          </w:p>
        </w:tc>
        <w:tc>
          <w:tcPr>
            <w:tcW w:w="1775" w:type="dxa"/>
            <w:tcBorders>
              <w:top w:val="nil"/>
              <w:left w:val="nil"/>
              <w:bottom w:val="single" w:color="auto" w:sz="8" w:space="0"/>
              <w:right w:val="single" w:color="auto" w:sz="8" w:space="0"/>
            </w:tcBorders>
            <w:vAlign w:val="top"/>
          </w:tcPr>
          <w:p>
            <w:pPr>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176021018</w:t>
            </w:r>
          </w:p>
        </w:tc>
        <w:tc>
          <w:tcPr>
            <w:tcW w:w="2662" w:type="dxa"/>
            <w:tcBorders>
              <w:top w:val="nil"/>
              <w:left w:val="nil"/>
              <w:bottom w:val="single" w:color="auto" w:sz="8" w:space="0"/>
              <w:right w:val="single" w:color="auto" w:sz="8" w:space="0"/>
            </w:tcBorders>
            <w:vAlign w:val="top"/>
          </w:tcPr>
          <w:p>
            <w:pPr>
              <w:spacing w:line="560" w:lineRule="exact"/>
              <w:ind w:firstLine="320" w:firstLineChars="100"/>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线性代数B</w:t>
            </w:r>
          </w:p>
        </w:tc>
        <w:tc>
          <w:tcPr>
            <w:tcW w:w="738" w:type="dxa"/>
            <w:tcBorders>
              <w:top w:val="nil"/>
              <w:left w:val="nil"/>
              <w:bottom w:val="single" w:color="auto" w:sz="8" w:space="0"/>
              <w:right w:val="single" w:color="auto" w:sz="8" w:space="0"/>
            </w:tcBorders>
            <w:vAlign w:val="top"/>
          </w:tcPr>
          <w:p>
            <w:pPr>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32</w:t>
            </w:r>
          </w:p>
        </w:tc>
        <w:tc>
          <w:tcPr>
            <w:tcW w:w="687" w:type="dxa"/>
            <w:tcBorders>
              <w:top w:val="nil"/>
              <w:left w:val="nil"/>
              <w:bottom w:val="single" w:color="auto" w:sz="8" w:space="0"/>
              <w:right w:val="single" w:color="auto" w:sz="8" w:space="0"/>
            </w:tcBorders>
            <w:vAlign w:val="top"/>
          </w:tcPr>
          <w:p>
            <w:pPr>
              <w:spacing w:line="560" w:lineRule="exact"/>
              <w:jc w:val="center"/>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2</w:t>
            </w:r>
          </w:p>
        </w:tc>
        <w:tc>
          <w:tcPr>
            <w:tcW w:w="1104" w:type="dxa"/>
            <w:tcBorders>
              <w:top w:val="nil"/>
              <w:left w:val="nil"/>
              <w:bottom w:val="single" w:color="auto" w:sz="8" w:space="0"/>
              <w:right w:val="single" w:color="auto" w:sz="8" w:space="0"/>
            </w:tcBorders>
            <w:vAlign w:val="top"/>
          </w:tcPr>
          <w:p>
            <w:pPr>
              <w:widowControl/>
              <w:spacing w:line="560" w:lineRule="exact"/>
              <w:jc w:val="center"/>
              <w:rPr>
                <w:rFonts w:hint="default" w:ascii="Times New Roman" w:hAnsi="Times New Roman" w:eastAsia="仿宋" w:cs="Times New Roman"/>
                <w:color w:val="000000"/>
                <w:kern w:val="0"/>
                <w:sz w:val="32"/>
                <w:szCs w:val="32"/>
              </w:rPr>
            </w:pPr>
          </w:p>
        </w:tc>
      </w:tr>
    </w:tbl>
    <w:p>
      <w:pPr>
        <w:numPr>
          <w:numId w:val="0"/>
        </w:numPr>
        <w:spacing w:line="560" w:lineRule="exact"/>
        <w:ind w:leftChars="200"/>
        <w:rPr>
          <w:rFonts w:hint="default" w:ascii="Times New Roman" w:hAnsi="Times New Roman" w:eastAsia="仿宋" w:cs="Times New Roman"/>
          <w:sz w:val="32"/>
          <w:szCs w:val="32"/>
        </w:rPr>
      </w:pPr>
      <w:r>
        <w:rPr>
          <w:rFonts w:hint="eastAsia" w:ascii="Times New Roman" w:hAnsi="Times New Roman" w:eastAsia="仿宋" w:cs="Times New Roman"/>
          <w:kern w:val="0"/>
          <w:sz w:val="32"/>
          <w:szCs w:val="32"/>
          <w:lang w:val="en-US" w:eastAsia="zh-CN"/>
        </w:rPr>
        <w:t>4.</w:t>
      </w:r>
      <w:bookmarkStart w:id="0" w:name="_GoBack"/>
      <w:bookmarkEnd w:id="0"/>
      <w:r>
        <w:rPr>
          <w:rFonts w:hint="default" w:ascii="Times New Roman" w:hAnsi="Times New Roman" w:eastAsia="仿宋" w:cs="Times New Roman"/>
          <w:kern w:val="0"/>
          <w:sz w:val="32"/>
          <w:szCs w:val="32"/>
        </w:rPr>
        <w:t>学院按照</w:t>
      </w:r>
      <w:r>
        <w:rPr>
          <w:rFonts w:hint="default" w:ascii="Times New Roman" w:hAnsi="Times New Roman" w:eastAsia="仿宋" w:cs="Times New Roman"/>
          <w:kern w:val="0"/>
          <w:sz w:val="32"/>
          <w:szCs w:val="32"/>
          <w:lang w:val="en-US" w:eastAsia="zh-CN"/>
        </w:rPr>
        <w:t>各专业的</w:t>
      </w:r>
      <w:r>
        <w:rPr>
          <w:rFonts w:hint="default" w:ascii="Times New Roman" w:hAnsi="Times New Roman" w:eastAsia="仿宋_GB2312" w:cs="Times New Roman"/>
          <w:sz w:val="32"/>
          <w:szCs w:val="32"/>
        </w:rPr>
        <w:t>考核总成绩</w:t>
      </w:r>
      <w:r>
        <w:rPr>
          <w:rFonts w:hint="default" w:ascii="Times New Roman" w:hAnsi="Times New Roman" w:eastAsia="仿宋_GB2312" w:cs="Times New Roman"/>
          <w:sz w:val="32"/>
          <w:szCs w:val="32"/>
          <w:lang w:val="en-US" w:eastAsia="zh-CN"/>
        </w:rPr>
        <w:t>分转入年级分别</w:t>
      </w:r>
      <w:r>
        <w:rPr>
          <w:rFonts w:hint="default" w:ascii="Times New Roman" w:hAnsi="Times New Roman" w:eastAsia="仿宋" w:cs="Times New Roman"/>
          <w:kern w:val="0"/>
          <w:sz w:val="32"/>
          <w:szCs w:val="32"/>
        </w:rPr>
        <w:t>进行排名，</w:t>
      </w:r>
      <w:r>
        <w:rPr>
          <w:rFonts w:hint="default" w:ascii="Times New Roman" w:hAnsi="Times New Roman" w:eastAsia="仿宋" w:cs="Times New Roman"/>
          <w:sz w:val="32"/>
          <w:szCs w:val="32"/>
          <w:lang w:val="en-US" w:eastAsia="zh-CN"/>
        </w:rPr>
        <w:t>将</w:t>
      </w:r>
      <w:r>
        <w:rPr>
          <w:rFonts w:hint="default" w:ascii="Times New Roman" w:hAnsi="Times New Roman" w:eastAsia="仿宋" w:cs="Times New Roman"/>
          <w:sz w:val="32"/>
          <w:szCs w:val="32"/>
        </w:rPr>
        <w:t>考核</w:t>
      </w:r>
      <w:r>
        <w:rPr>
          <w:rFonts w:hint="default" w:ascii="Times New Roman" w:hAnsi="Times New Roman" w:eastAsia="仿宋" w:cs="Times New Roman"/>
          <w:sz w:val="32"/>
          <w:szCs w:val="32"/>
          <w:lang w:val="en-US" w:eastAsia="zh-CN"/>
        </w:rPr>
        <w:t>结果</w:t>
      </w:r>
      <w:r>
        <w:rPr>
          <w:rFonts w:hint="default" w:ascii="Times New Roman" w:hAnsi="Times New Roman" w:eastAsia="仿宋" w:cs="Times New Roman"/>
          <w:sz w:val="32"/>
          <w:szCs w:val="32"/>
        </w:rPr>
        <w:t>上报教务处，由教务处按照通大处教</w:t>
      </w:r>
      <w:r>
        <w:rPr>
          <w:rFonts w:hint="default" w:ascii="Times New Roman" w:hAnsi="Times New Roman" w:eastAsia="仿宋" w:cs="Times New Roman"/>
          <w:color w:val="auto"/>
          <w:sz w:val="32"/>
          <w:szCs w:val="32"/>
        </w:rPr>
        <w:t>〔20</w:t>
      </w:r>
      <w:r>
        <w:rPr>
          <w:rFonts w:hint="default" w:ascii="Times New Roman" w:hAnsi="Times New Roman" w:eastAsia="仿宋" w:cs="Times New Roman"/>
          <w:color w:val="auto"/>
          <w:sz w:val="32"/>
          <w:szCs w:val="32"/>
          <w:lang w:val="en-US" w:eastAsia="zh-CN"/>
        </w:rPr>
        <w:t>20</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val="en-US" w:eastAsia="zh-CN"/>
        </w:rPr>
        <w:t>26</w:t>
      </w:r>
      <w:r>
        <w:rPr>
          <w:rFonts w:hint="default" w:ascii="Times New Roman" w:hAnsi="Times New Roman" w:eastAsia="仿宋" w:cs="Times New Roman"/>
          <w:color w:val="auto"/>
          <w:sz w:val="32"/>
          <w:szCs w:val="32"/>
        </w:rPr>
        <w:t>号</w:t>
      </w:r>
      <w:r>
        <w:rPr>
          <w:rFonts w:hint="default" w:ascii="Times New Roman" w:hAnsi="Times New Roman" w:eastAsia="仿宋" w:cs="Times New Roman"/>
          <w:sz w:val="32"/>
          <w:szCs w:val="32"/>
        </w:rPr>
        <w:t>文件进行投档。</w:t>
      </w:r>
    </w:p>
    <w:p>
      <w:pPr>
        <w:spacing w:line="560" w:lineRule="exact"/>
        <w:ind w:firstLine="5760" w:firstLineChars="18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南通大学理学院</w:t>
      </w:r>
    </w:p>
    <w:p>
      <w:pPr>
        <w:spacing w:line="560" w:lineRule="exact"/>
        <w:ind w:firstLine="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20</w:t>
      </w:r>
      <w:r>
        <w:rPr>
          <w:rFonts w:hint="default" w:ascii="Times New Roman" w:hAnsi="Times New Roman" w:eastAsia="仿宋" w:cs="Times New Roman"/>
          <w:sz w:val="32"/>
          <w:szCs w:val="32"/>
          <w:lang w:val="en-US" w:eastAsia="zh-CN"/>
        </w:rPr>
        <w:t>20</w:t>
      </w:r>
      <w:r>
        <w:rPr>
          <w:rFonts w:hint="default" w:ascii="Times New Roman" w:hAnsi="Times New Roman" w:eastAsia="仿宋" w:cs="Times New Roman"/>
          <w:sz w:val="32"/>
          <w:szCs w:val="32"/>
        </w:rPr>
        <w:t>年</w:t>
      </w:r>
      <w:r>
        <w:rPr>
          <w:rFonts w:hint="default"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default" w:ascii="Times New Roman" w:hAnsi="Times New Roman" w:eastAsia="仿宋" w:cs="Times New Roman"/>
          <w:sz w:val="32"/>
          <w:szCs w:val="32"/>
          <w:lang w:val="en-US" w:eastAsia="zh-CN"/>
        </w:rPr>
        <w:t>20</w:t>
      </w:r>
      <w:r>
        <w:rPr>
          <w:rFonts w:hint="default" w:ascii="Times New Roman" w:hAnsi="Times New Roman" w:eastAsia="仿宋" w:cs="Times New Roman"/>
          <w:sz w:val="32"/>
          <w:szCs w:val="32"/>
        </w:rPr>
        <w:t>日</w:t>
      </w:r>
    </w:p>
    <w:p>
      <w:pPr>
        <w:spacing w:line="600" w:lineRule="exact"/>
        <w:rPr>
          <w:rFonts w:hint="default" w:ascii="Times New Roman" w:hAnsi="Times New Roman" w:eastAsia="仿宋_GB2312" w:cs="Times New Roman"/>
          <w:sz w:val="32"/>
          <w:szCs w:val="32"/>
          <w:lang w:val="en-US" w:eastAsia="zh-CN"/>
        </w:rPr>
      </w:pPr>
    </w:p>
    <w:p>
      <w:pPr>
        <w:spacing w:line="600" w:lineRule="exac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附：南通大学理院2019-2020-2学期全日制本科学生转专业工作领导小组名单</w:t>
      </w:r>
    </w:p>
    <w:p>
      <w:pPr>
        <w:spacing w:line="600" w:lineRule="exac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组  长：陈玉娟     张  华</w:t>
      </w:r>
    </w:p>
    <w:p>
      <w:pPr>
        <w:spacing w:line="600" w:lineRule="exac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副组长：王林峰</w:t>
      </w:r>
    </w:p>
    <w:p>
      <w:pPr>
        <w:spacing w:line="600" w:lineRule="exac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成  员：侯  蔚     仲崇贵      陆海华     陆志峰 </w:t>
      </w:r>
    </w:p>
    <w:p>
      <w:pPr>
        <w:spacing w:line="600" w:lineRule="exact"/>
        <w:ind w:firstLine="1280" w:firstLineChars="4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成鸣飞     许  田               </w:t>
      </w:r>
    </w:p>
    <w:p>
      <w:pPr>
        <w:spacing w:line="600" w:lineRule="exact"/>
        <w:ind w:firstLine="5440" w:firstLineChars="17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p>
    <w:p>
      <w:pPr>
        <w:spacing w:line="600" w:lineRule="exact"/>
        <w:ind w:firstLine="5440" w:firstLineChars="1700"/>
        <w:rPr>
          <w:rFonts w:hint="default" w:ascii="Times New Roman" w:hAnsi="Times New Roman" w:eastAsia="仿宋_GB2312" w:cs="Times New Roman"/>
          <w:sz w:val="32"/>
          <w:szCs w:val="32"/>
          <w:lang w:val="en-US" w:eastAsia="zh-CN"/>
        </w:rPr>
      </w:pPr>
    </w:p>
    <w:p>
      <w:pPr>
        <w:spacing w:line="600" w:lineRule="exact"/>
        <w:rPr>
          <w:rFonts w:hint="default" w:ascii="Times New Roman" w:hAnsi="Times New Roman" w:eastAsia="仿宋" w:cs="Times New Roman"/>
          <w:sz w:val="32"/>
          <w:szCs w:val="32"/>
        </w:rPr>
      </w:pPr>
      <w:r>
        <w:rPr>
          <w:rFonts w:hint="default" w:ascii="Times New Roman" w:hAnsi="Times New Roman" w:eastAsia="仿宋_GB2312" w:cs="Times New Roman"/>
          <w:sz w:val="32"/>
          <w:szCs w:val="32"/>
          <w:lang w:val="en-US" w:eastAsia="zh-CN"/>
        </w:rPr>
        <w:t>学院举报电话：55003322</w:t>
      </w:r>
      <w:r>
        <w:rPr>
          <w:rFonts w:hint="default" w:ascii="Times New Roman" w:hAnsi="Times New Roman" w:eastAsia="仿宋" w:cs="Times New Roman"/>
          <w:sz w:val="32"/>
          <w:szCs w:val="32"/>
        </w:rPr>
        <w:t xml:space="preserve"> </w:t>
      </w: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238402264">
    <w:nsid w:val="856B4ED8"/>
    <w:multiLevelType w:val="singleLevel"/>
    <w:tmpl w:val="856B4ED8"/>
    <w:lvl w:ilvl="0" w:tentative="1">
      <w:start w:val="2"/>
      <w:numFmt w:val="decimal"/>
      <w:suff w:val="space"/>
      <w:lvlText w:val="%1."/>
      <w:lvlJc w:val="left"/>
    </w:lvl>
  </w:abstractNum>
  <w:num w:numId="1">
    <w:abstractNumId w:val="22384022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9CD"/>
    <w:rsid w:val="000E69CD"/>
    <w:rsid w:val="004802C8"/>
    <w:rsid w:val="00671AF6"/>
    <w:rsid w:val="006F0C70"/>
    <w:rsid w:val="00834BAD"/>
    <w:rsid w:val="008921FC"/>
    <w:rsid w:val="008A07C2"/>
    <w:rsid w:val="009A3696"/>
    <w:rsid w:val="00A54DE2"/>
    <w:rsid w:val="00B74B11"/>
    <w:rsid w:val="00F36A13"/>
    <w:rsid w:val="04CA53E3"/>
    <w:rsid w:val="08976DA7"/>
    <w:rsid w:val="0B9157F6"/>
    <w:rsid w:val="10DB1421"/>
    <w:rsid w:val="1887019F"/>
    <w:rsid w:val="191E49D5"/>
    <w:rsid w:val="19306069"/>
    <w:rsid w:val="1A0F167C"/>
    <w:rsid w:val="1BF560B7"/>
    <w:rsid w:val="23201823"/>
    <w:rsid w:val="27DA15F7"/>
    <w:rsid w:val="299F4CD2"/>
    <w:rsid w:val="2F4C528B"/>
    <w:rsid w:val="31981312"/>
    <w:rsid w:val="3E0F006A"/>
    <w:rsid w:val="3F411FE0"/>
    <w:rsid w:val="545823C8"/>
    <w:rsid w:val="580729E5"/>
    <w:rsid w:val="5955310C"/>
    <w:rsid w:val="59A420A2"/>
    <w:rsid w:val="6482496D"/>
    <w:rsid w:val="6B2327AA"/>
    <w:rsid w:val="6F6F2F6E"/>
    <w:rsid w:val="70F37CB4"/>
    <w:rsid w:val="759B4D9D"/>
    <w:rsid w:val="78F71AF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1124</Words>
  <Characters>1365</Characters>
  <Lines>11</Lines>
  <Paragraphs>3</Paragraphs>
  <ScaleCrop>false</ScaleCrop>
  <LinksUpToDate>false</LinksUpToDate>
  <CharactersWithSpaces>1450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2018-04-11T02:23:00Z</dcterms:created>
  <dc:creator>Lenovo</dc:creator>
  <cp:lastModifiedBy>系统管理员</cp:lastModifiedBy>
  <cp:lastPrinted>2020-06-22T00:17:00Z</cp:lastPrinted>
  <dcterms:modified xsi:type="dcterms:W3CDTF">2020-06-26T07:57:20Z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