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C282DD">
      <w:pPr>
        <w:jc w:val="both"/>
        <w:rPr>
          <w:rFonts w:hint="eastAsia"/>
          <w:b/>
          <w:bCs/>
          <w:sz w:val="32"/>
          <w:szCs w:val="32"/>
          <w:lang w:val="en-US" w:eastAsia="zh-CN"/>
        </w:rPr>
      </w:pPr>
    </w:p>
    <w:p w14:paraId="4A5BD074">
      <w:pPr>
        <w:widowControl/>
        <w:spacing w:line="360" w:lineRule="auto"/>
        <w:ind w:firstLine="643" w:firstLineChars="200"/>
        <w:jc w:val="center"/>
        <w:rPr>
          <w:rFonts w:hint="eastAsia"/>
          <w:b/>
          <w:bCs/>
          <w:sz w:val="32"/>
          <w:szCs w:val="32"/>
          <w:lang w:val="en-US" w:eastAsia="zh-CN"/>
        </w:rPr>
      </w:pPr>
      <w:r>
        <w:rPr>
          <w:rFonts w:hint="eastAsia"/>
          <w:b/>
          <w:bCs/>
          <w:sz w:val="32"/>
          <w:szCs w:val="32"/>
          <w:lang w:val="en-US" w:eastAsia="zh-CN"/>
        </w:rPr>
        <w:t>纪检监察微专业人才培养方案</w:t>
      </w:r>
    </w:p>
    <w:p w14:paraId="3C90385E">
      <w:pPr>
        <w:widowControl/>
        <w:spacing w:line="360" w:lineRule="auto"/>
        <w:ind w:firstLine="643" w:firstLineChars="200"/>
        <w:jc w:val="center"/>
        <w:rPr>
          <w:rFonts w:hint="eastAsia"/>
          <w:b/>
          <w:bCs/>
          <w:sz w:val="32"/>
          <w:szCs w:val="32"/>
          <w:lang w:val="en-US" w:eastAsia="zh-CN"/>
        </w:rPr>
      </w:pPr>
    </w:p>
    <w:p w14:paraId="69CC97EF">
      <w:pPr>
        <w:widowControl/>
        <w:spacing w:line="360" w:lineRule="auto"/>
        <w:ind w:firstLine="482" w:firstLineChars="200"/>
        <w:jc w:val="left"/>
        <w:rPr>
          <w:rFonts w:hint="eastAsia" w:ascii="仿宋_GB2312" w:eastAsia="仿宋_GB2312"/>
          <w:b/>
          <w:bCs/>
          <w:sz w:val="24"/>
        </w:rPr>
      </w:pPr>
      <w:r>
        <w:rPr>
          <w:rFonts w:hint="eastAsia" w:ascii="仿宋_GB2312" w:eastAsia="仿宋_GB2312"/>
          <w:b/>
          <w:bCs/>
          <w:sz w:val="24"/>
          <w:lang w:val="en-US" w:eastAsia="zh-CN"/>
        </w:rPr>
        <w:t>一、</w:t>
      </w:r>
      <w:r>
        <w:rPr>
          <w:rFonts w:hint="eastAsia" w:ascii="仿宋_GB2312" w:eastAsia="仿宋_GB2312"/>
          <w:b/>
          <w:bCs/>
          <w:sz w:val="24"/>
        </w:rPr>
        <w:t>培养目标</w:t>
      </w:r>
    </w:p>
    <w:p w14:paraId="48F150C7">
      <w:pPr>
        <w:widowControl/>
        <w:spacing w:line="360" w:lineRule="auto"/>
        <w:ind w:firstLine="480" w:firstLineChars="200"/>
        <w:jc w:val="left"/>
        <w:rPr>
          <w:rFonts w:hint="eastAsia" w:ascii="仿宋_GB2312" w:eastAsia="仿宋_GB2312"/>
          <w:b w:val="0"/>
          <w:bCs w:val="0"/>
          <w:sz w:val="24"/>
        </w:rPr>
      </w:pPr>
      <w:r>
        <w:rPr>
          <w:rFonts w:hint="eastAsia" w:ascii="仿宋_GB2312" w:eastAsia="仿宋_GB2312"/>
          <w:b w:val="0"/>
          <w:bCs w:val="0"/>
          <w:sz w:val="24"/>
        </w:rPr>
        <w:t>纪检监察微专业旨在培养学生综合运用纪检监察理论知识并运用其解决纪检监察实际问题的能力。通过课程学习学生能够掌握纪检监察领域的基本理论知识</w:t>
      </w:r>
      <w:r>
        <w:rPr>
          <w:rFonts w:hint="eastAsia" w:ascii="仿宋_GB2312" w:eastAsia="仿宋_GB2312"/>
          <w:b w:val="0"/>
          <w:bCs w:val="0"/>
          <w:sz w:val="24"/>
          <w:lang w:eastAsia="zh-CN"/>
        </w:rPr>
        <w:t>，</w:t>
      </w:r>
      <w:r>
        <w:rPr>
          <w:rFonts w:hint="eastAsia" w:ascii="仿宋_GB2312" w:eastAsia="仿宋_GB2312"/>
          <w:b w:val="0"/>
          <w:bCs w:val="0"/>
          <w:sz w:val="24"/>
        </w:rPr>
        <w:t>具备相关工作岗位所需要的实践技能，成为忠诚于党、忠诚于纪检监察事业，具有法治意识、责任意识、德才兼备、高素质的复合型、职业型、创新型人才，为全面推进新时代纪检监察工作提供有力的人才智力保障。</w:t>
      </w:r>
    </w:p>
    <w:p w14:paraId="21C2063D">
      <w:pPr>
        <w:widowControl/>
        <w:spacing w:line="360" w:lineRule="auto"/>
        <w:ind w:firstLine="482" w:firstLineChars="200"/>
        <w:jc w:val="left"/>
        <w:rPr>
          <w:rFonts w:hint="eastAsia" w:ascii="仿宋_GB2312" w:eastAsia="仿宋_GB2312"/>
          <w:b/>
          <w:bCs/>
          <w:sz w:val="24"/>
          <w:lang w:val="en-US" w:eastAsia="zh-CN"/>
        </w:rPr>
      </w:pPr>
      <w:r>
        <w:rPr>
          <w:rFonts w:hint="eastAsia" w:ascii="仿宋_GB2312" w:eastAsia="仿宋_GB2312"/>
          <w:b/>
          <w:bCs/>
          <w:sz w:val="24"/>
          <w:lang w:val="en-US" w:eastAsia="zh-CN"/>
        </w:rPr>
        <w:t>二、培养内容</w:t>
      </w:r>
    </w:p>
    <w:p w14:paraId="03D3EAAC">
      <w:pPr>
        <w:widowControl/>
        <w:spacing w:line="360" w:lineRule="auto"/>
        <w:ind w:firstLine="480" w:firstLineChars="200"/>
        <w:jc w:val="left"/>
        <w:rPr>
          <w:rFonts w:hint="eastAsia" w:ascii="仿宋_GB2312" w:eastAsia="仿宋_GB2312"/>
          <w:b w:val="0"/>
          <w:bCs w:val="0"/>
          <w:sz w:val="24"/>
          <w:lang w:val="en-US" w:eastAsia="zh-CN"/>
        </w:rPr>
      </w:pPr>
      <w:r>
        <w:rPr>
          <w:rFonts w:hint="eastAsia" w:ascii="仿宋_GB2312" w:eastAsia="仿宋_GB2312"/>
          <w:b w:val="0"/>
          <w:bCs w:val="0"/>
          <w:sz w:val="24"/>
          <w:lang w:val="en-US" w:eastAsia="zh-CN"/>
        </w:rPr>
        <w:t>本专业围绕</w:t>
      </w:r>
      <w:r>
        <w:rPr>
          <w:rFonts w:hint="eastAsia" w:ascii="仿宋_GB2312" w:eastAsia="仿宋_GB2312"/>
          <w:b w:val="0"/>
          <w:bCs w:val="0"/>
          <w:sz w:val="24"/>
        </w:rPr>
        <w:t>熟悉掌握纪检监察领域的基本理论</w:t>
      </w:r>
      <w:r>
        <w:rPr>
          <w:rFonts w:hint="eastAsia" w:ascii="仿宋_GB2312" w:eastAsia="仿宋_GB2312"/>
          <w:b w:val="0"/>
          <w:bCs w:val="0"/>
          <w:sz w:val="24"/>
          <w:lang w:eastAsia="zh-CN"/>
        </w:rPr>
        <w:t>、</w:t>
      </w:r>
      <w:r>
        <w:rPr>
          <w:rFonts w:hint="eastAsia" w:ascii="仿宋_GB2312" w:eastAsia="仿宋_GB2312"/>
          <w:b w:val="0"/>
          <w:bCs w:val="0"/>
          <w:sz w:val="24"/>
        </w:rPr>
        <w:t>熟悉和掌握纪检监察领域的相关党内法规和法律规定</w:t>
      </w:r>
      <w:r>
        <w:rPr>
          <w:rFonts w:hint="eastAsia" w:ascii="仿宋_GB2312" w:eastAsia="仿宋_GB2312"/>
          <w:b w:val="0"/>
          <w:bCs w:val="0"/>
          <w:sz w:val="24"/>
          <w:lang w:eastAsia="zh-CN"/>
        </w:rPr>
        <w:t>、</w:t>
      </w:r>
      <w:r>
        <w:rPr>
          <w:rFonts w:hint="eastAsia" w:ascii="仿宋_GB2312" w:eastAsia="仿宋_GB2312"/>
          <w:b w:val="0"/>
          <w:bCs w:val="0"/>
          <w:sz w:val="24"/>
        </w:rPr>
        <w:t>掌握纪检监察相关文书的写作技巧</w:t>
      </w:r>
      <w:r>
        <w:rPr>
          <w:rFonts w:hint="eastAsia" w:ascii="仿宋_GB2312" w:eastAsia="仿宋_GB2312"/>
          <w:b w:val="0"/>
          <w:bCs w:val="0"/>
          <w:sz w:val="24"/>
          <w:lang w:eastAsia="zh-CN"/>
        </w:rPr>
        <w:t>、</w:t>
      </w:r>
      <w:r>
        <w:rPr>
          <w:rFonts w:hint="eastAsia" w:ascii="仿宋_GB2312" w:eastAsia="仿宋_GB2312"/>
          <w:b w:val="0"/>
          <w:bCs w:val="0"/>
          <w:sz w:val="24"/>
        </w:rPr>
        <w:t>能够运用纪检监察理论解决相关实际问题</w:t>
      </w:r>
      <w:r>
        <w:rPr>
          <w:rFonts w:hint="eastAsia" w:ascii="仿宋_GB2312" w:eastAsia="仿宋_GB2312"/>
          <w:b w:val="0"/>
          <w:bCs w:val="0"/>
          <w:sz w:val="24"/>
          <w:lang w:val="en-US" w:eastAsia="zh-CN"/>
        </w:rPr>
        <w:t>等培养要求，构建“理论奠基 — 法规精通 —  素养提升” 三位一体的课程体系，总学分 12 学分，总学时 192 学时，修业年限 1 年。围绕培养内容，设置四门专业课程：</w:t>
      </w:r>
    </w:p>
    <w:p w14:paraId="52D7AF26">
      <w:pPr>
        <w:widowControl/>
        <w:spacing w:line="360" w:lineRule="auto"/>
        <w:ind w:firstLine="480" w:firstLineChars="200"/>
        <w:jc w:val="left"/>
        <w:rPr>
          <w:rFonts w:hint="eastAsia" w:ascii="仿宋_GB2312" w:eastAsia="仿宋_GB2312"/>
          <w:b w:val="0"/>
          <w:bCs w:val="0"/>
          <w:sz w:val="24"/>
        </w:rPr>
      </w:pPr>
      <w:r>
        <w:rPr>
          <w:rFonts w:hint="eastAsia" w:ascii="仿宋_GB2312" w:eastAsia="仿宋_GB2312"/>
          <w:b w:val="0"/>
          <w:bCs w:val="0"/>
          <w:sz w:val="24"/>
          <w:lang w:val="en-US" w:eastAsia="zh-CN"/>
        </w:rPr>
        <w:t>1.</w:t>
      </w:r>
      <w:r>
        <w:rPr>
          <w:rFonts w:hint="eastAsia" w:ascii="仿宋_GB2312" w:eastAsia="仿宋_GB2312"/>
          <w:b w:val="0"/>
          <w:bCs w:val="0"/>
          <w:sz w:val="24"/>
        </w:rPr>
        <w:t>纪检监察</w:t>
      </w:r>
      <w:r>
        <w:rPr>
          <w:rFonts w:hint="eastAsia" w:ascii="仿宋_GB2312" w:eastAsia="仿宋_GB2312"/>
          <w:b w:val="0"/>
          <w:bCs w:val="0"/>
          <w:sz w:val="24"/>
          <w:lang w:val="en-US" w:eastAsia="zh-CN"/>
        </w:rPr>
        <w:t>学</w:t>
      </w:r>
      <w:r>
        <w:rPr>
          <w:rFonts w:hint="eastAsia" w:ascii="仿宋_GB2312" w:eastAsia="仿宋_GB2312"/>
          <w:b w:val="0"/>
          <w:bCs w:val="0"/>
          <w:sz w:val="24"/>
          <w:lang w:eastAsia="zh-CN"/>
        </w:rPr>
        <w:t>。</w:t>
      </w:r>
      <w:r>
        <w:rPr>
          <w:rFonts w:hint="eastAsia" w:ascii="仿宋_GB2312" w:eastAsia="仿宋_GB2312"/>
          <w:b w:val="0"/>
          <w:bCs w:val="0"/>
          <w:sz w:val="24"/>
        </w:rPr>
        <w:t>培养学生系统掌握纪检监察的基本概念、基本关系、基本原理和基本方法，为提高纪检监察的科学性、有效性和实效性奠定坚实的基础；提高学生运用纪检监察原理和方法提出问题、分析问题和解决问题的能力。</w:t>
      </w:r>
    </w:p>
    <w:p w14:paraId="1F14BE47">
      <w:pPr>
        <w:widowControl/>
        <w:spacing w:line="360" w:lineRule="auto"/>
        <w:ind w:firstLine="480" w:firstLineChars="200"/>
        <w:jc w:val="left"/>
        <w:rPr>
          <w:rFonts w:hint="eastAsia" w:ascii="仿宋_GB2312" w:eastAsia="仿宋_GB2312"/>
          <w:b w:val="0"/>
          <w:bCs w:val="0"/>
          <w:sz w:val="24"/>
        </w:rPr>
      </w:pPr>
      <w:r>
        <w:rPr>
          <w:rFonts w:hint="eastAsia" w:ascii="仿宋_GB2312" w:eastAsia="仿宋_GB2312"/>
          <w:b w:val="0"/>
          <w:bCs w:val="0"/>
          <w:sz w:val="24"/>
          <w:lang w:val="en-US" w:eastAsia="zh-CN"/>
        </w:rPr>
        <w:t>2.</w:t>
      </w:r>
      <w:r>
        <w:rPr>
          <w:rFonts w:hint="eastAsia" w:ascii="仿宋_GB2312" w:eastAsia="仿宋_GB2312"/>
          <w:b w:val="0"/>
          <w:bCs w:val="0"/>
          <w:sz w:val="24"/>
        </w:rPr>
        <w:t>党内法规学</w:t>
      </w:r>
      <w:r>
        <w:rPr>
          <w:rFonts w:hint="eastAsia" w:ascii="仿宋_GB2312" w:eastAsia="仿宋_GB2312"/>
          <w:b w:val="0"/>
          <w:bCs w:val="0"/>
          <w:sz w:val="24"/>
          <w:lang w:eastAsia="zh-CN"/>
        </w:rPr>
        <w:t>。</w:t>
      </w:r>
      <w:r>
        <w:rPr>
          <w:rFonts w:hint="eastAsia" w:ascii="仿宋_GB2312" w:eastAsia="仿宋_GB2312"/>
          <w:b w:val="0"/>
          <w:bCs w:val="0"/>
          <w:sz w:val="24"/>
        </w:rPr>
        <w:t>课程以中国共产党建党以来有关党内法规建设的理论与实践为分析对象，重点讨论党内法规产生的背景、功能、原则、体系框架、制定过程及其在新时期的创新发展等问题，使学生熟悉中国共产党党内法规的相关知识。</w:t>
      </w:r>
    </w:p>
    <w:p w14:paraId="4E9EA521">
      <w:pPr>
        <w:widowControl/>
        <w:spacing w:line="360" w:lineRule="auto"/>
        <w:ind w:firstLine="480" w:firstLineChars="200"/>
        <w:jc w:val="left"/>
        <w:rPr>
          <w:rFonts w:hint="eastAsia" w:ascii="仿宋_GB2312" w:eastAsia="仿宋_GB2312"/>
          <w:b w:val="0"/>
          <w:bCs w:val="0"/>
          <w:sz w:val="24"/>
        </w:rPr>
      </w:pPr>
      <w:r>
        <w:rPr>
          <w:rFonts w:hint="eastAsia" w:ascii="仿宋_GB2312" w:eastAsia="仿宋_GB2312"/>
          <w:b w:val="0"/>
          <w:bCs w:val="0"/>
          <w:sz w:val="24"/>
          <w:lang w:val="en-US" w:eastAsia="zh-CN"/>
        </w:rPr>
        <w:t>3.</w:t>
      </w:r>
      <w:r>
        <w:rPr>
          <w:rFonts w:hint="eastAsia" w:ascii="仿宋_GB2312" w:eastAsia="仿宋_GB2312"/>
          <w:b w:val="0"/>
          <w:bCs w:val="0"/>
          <w:sz w:val="24"/>
        </w:rPr>
        <w:t>监察法学</w:t>
      </w:r>
      <w:r>
        <w:rPr>
          <w:rFonts w:hint="eastAsia" w:ascii="仿宋_GB2312" w:eastAsia="仿宋_GB2312"/>
          <w:b w:val="0"/>
          <w:bCs w:val="0"/>
          <w:sz w:val="24"/>
          <w:lang w:eastAsia="zh-CN"/>
        </w:rPr>
        <w:t>。</w:t>
      </w:r>
      <w:r>
        <w:rPr>
          <w:rFonts w:hint="eastAsia" w:ascii="仿宋_GB2312" w:eastAsia="仿宋_GB2312"/>
          <w:b w:val="0"/>
          <w:bCs w:val="0"/>
          <w:sz w:val="24"/>
        </w:rPr>
        <w:t>指导学生掌握监察法基本知识，了解我国监察制度设计的基本体系，理解并掌握我国监察法学基本理论，包括习近平法治思想的理论支撑，监察法学基本概念，监察法基本原则等，进而深化监察法理论思考，使学生具备运用监察法的基本能力，培养熟悉监察法治理论和监察法律程序规范的应用型监察法治人才。</w:t>
      </w:r>
    </w:p>
    <w:p w14:paraId="2173E5FA">
      <w:pPr>
        <w:widowControl/>
        <w:spacing w:line="360" w:lineRule="auto"/>
        <w:ind w:firstLine="480" w:firstLineChars="200"/>
        <w:jc w:val="left"/>
        <w:rPr>
          <w:rFonts w:hint="eastAsia" w:ascii="仿宋_GB2312" w:eastAsia="仿宋_GB2312"/>
          <w:b w:val="0"/>
          <w:bCs w:val="0"/>
          <w:sz w:val="24"/>
        </w:rPr>
      </w:pPr>
      <w:r>
        <w:rPr>
          <w:rFonts w:hint="eastAsia" w:ascii="仿宋_GB2312" w:eastAsia="仿宋_GB2312"/>
          <w:b w:val="0"/>
          <w:bCs w:val="0"/>
          <w:sz w:val="24"/>
          <w:lang w:val="en-US" w:eastAsia="zh-CN"/>
        </w:rPr>
        <w:t>4.廉洁教育概论</w:t>
      </w:r>
      <w:r>
        <w:rPr>
          <w:rFonts w:hint="eastAsia" w:ascii="仿宋_GB2312" w:eastAsia="仿宋_GB2312"/>
          <w:b w:val="0"/>
          <w:bCs w:val="0"/>
          <w:sz w:val="24"/>
          <w:lang w:eastAsia="zh-CN"/>
        </w:rPr>
        <w:t>。</w:t>
      </w:r>
      <w:r>
        <w:rPr>
          <w:rFonts w:hint="eastAsia" w:ascii="仿宋_GB2312" w:eastAsia="仿宋_GB2312"/>
          <w:b w:val="0"/>
          <w:bCs w:val="0"/>
          <w:sz w:val="24"/>
        </w:rPr>
        <w:t>主要讲授</w:t>
      </w:r>
      <w:r>
        <w:rPr>
          <w:rFonts w:hint="eastAsia" w:ascii="仿宋_GB2312" w:eastAsia="仿宋_GB2312"/>
          <w:b w:val="0"/>
          <w:bCs w:val="0"/>
          <w:sz w:val="24"/>
          <w:lang w:val="en-US" w:eastAsia="zh-CN"/>
        </w:rPr>
        <w:t>廉政</w:t>
      </w:r>
      <w:r>
        <w:rPr>
          <w:rFonts w:hint="eastAsia" w:ascii="仿宋_GB2312" w:eastAsia="仿宋_GB2312"/>
          <w:b w:val="0"/>
          <w:bCs w:val="0"/>
          <w:sz w:val="24"/>
        </w:rPr>
        <w:t>学的基本理论，包括</w:t>
      </w:r>
      <w:r>
        <w:rPr>
          <w:rFonts w:hint="eastAsia" w:ascii="仿宋_GB2312" w:eastAsia="仿宋_GB2312"/>
          <w:b w:val="0"/>
          <w:bCs w:val="0"/>
          <w:sz w:val="24"/>
          <w:lang w:val="en-US" w:eastAsia="zh-CN"/>
        </w:rPr>
        <w:t>廉政</w:t>
      </w:r>
      <w:r>
        <w:rPr>
          <w:rFonts w:hint="eastAsia" w:ascii="仿宋_GB2312" w:eastAsia="仿宋_GB2312"/>
          <w:b w:val="0"/>
          <w:bCs w:val="0"/>
          <w:sz w:val="24"/>
        </w:rPr>
        <w:t>学及其相关范畴、</w:t>
      </w:r>
      <w:r>
        <w:rPr>
          <w:rFonts w:hint="eastAsia" w:ascii="仿宋_GB2312" w:eastAsia="仿宋_GB2312"/>
          <w:b w:val="0"/>
          <w:bCs w:val="0"/>
          <w:sz w:val="24"/>
          <w:lang w:val="en-US" w:eastAsia="zh-CN"/>
        </w:rPr>
        <w:t>廉政</w:t>
      </w:r>
      <w:r>
        <w:rPr>
          <w:rFonts w:hint="eastAsia" w:ascii="仿宋_GB2312" w:eastAsia="仿宋_GB2312"/>
          <w:b w:val="0"/>
          <w:bCs w:val="0"/>
          <w:sz w:val="24"/>
        </w:rPr>
        <w:t>制度建设的理论基础、</w:t>
      </w:r>
      <w:r>
        <w:rPr>
          <w:rFonts w:hint="eastAsia" w:ascii="仿宋_GB2312" w:eastAsia="仿宋_GB2312"/>
          <w:b w:val="0"/>
          <w:bCs w:val="0"/>
          <w:sz w:val="24"/>
          <w:lang w:val="en-US" w:eastAsia="zh-CN"/>
        </w:rPr>
        <w:t>廉政</w:t>
      </w:r>
      <w:r>
        <w:rPr>
          <w:rFonts w:hint="eastAsia" w:ascii="仿宋_GB2312" w:eastAsia="仿宋_GB2312"/>
          <w:b w:val="0"/>
          <w:bCs w:val="0"/>
          <w:sz w:val="24"/>
        </w:rPr>
        <w:t>机构的设置和职权、</w:t>
      </w:r>
      <w:r>
        <w:rPr>
          <w:rFonts w:hint="eastAsia" w:ascii="仿宋_GB2312" w:eastAsia="仿宋_GB2312"/>
          <w:b w:val="0"/>
          <w:bCs w:val="0"/>
          <w:sz w:val="24"/>
          <w:lang w:val="en-US" w:eastAsia="zh-CN"/>
        </w:rPr>
        <w:t>廉政</w:t>
      </w:r>
      <w:r>
        <w:rPr>
          <w:rFonts w:hint="eastAsia" w:ascii="仿宋_GB2312" w:eastAsia="仿宋_GB2312"/>
          <w:b w:val="0"/>
          <w:bCs w:val="0"/>
          <w:sz w:val="24"/>
        </w:rPr>
        <w:t>制度的运行机制、党风廉政建设与反腐败以及</w:t>
      </w:r>
      <w:r>
        <w:rPr>
          <w:rFonts w:hint="eastAsia" w:ascii="仿宋_GB2312" w:eastAsia="仿宋_GB2312"/>
          <w:b w:val="0"/>
          <w:bCs w:val="0"/>
          <w:sz w:val="24"/>
          <w:lang w:val="en-US" w:eastAsia="zh-CN"/>
        </w:rPr>
        <w:t>廉政</w:t>
      </w:r>
      <w:r>
        <w:rPr>
          <w:rFonts w:hint="eastAsia" w:ascii="仿宋_GB2312" w:eastAsia="仿宋_GB2312"/>
          <w:b w:val="0"/>
          <w:bCs w:val="0"/>
          <w:sz w:val="24"/>
        </w:rPr>
        <w:t>简史等内容。</w:t>
      </w:r>
    </w:p>
    <w:p w14:paraId="4CE71A08">
      <w:pPr>
        <w:widowControl/>
        <w:spacing w:line="360" w:lineRule="auto"/>
        <w:ind w:firstLine="482" w:firstLineChars="200"/>
        <w:jc w:val="left"/>
        <w:rPr>
          <w:rFonts w:hint="eastAsia" w:ascii="仿宋_GB2312" w:eastAsia="仿宋_GB2312"/>
          <w:b/>
          <w:bCs/>
          <w:sz w:val="24"/>
          <w:lang w:val="en-US" w:eastAsia="zh-CN"/>
        </w:rPr>
      </w:pPr>
      <w:r>
        <w:rPr>
          <w:rFonts w:hint="eastAsia" w:ascii="仿宋_GB2312" w:eastAsia="仿宋_GB2312"/>
          <w:b/>
          <w:bCs/>
          <w:sz w:val="24"/>
          <w:lang w:val="en-US" w:eastAsia="zh-CN"/>
        </w:rPr>
        <w:t>三、招生对象</w:t>
      </w:r>
    </w:p>
    <w:p w14:paraId="78868A27">
      <w:pPr>
        <w:widowControl/>
        <w:spacing w:line="360" w:lineRule="auto"/>
        <w:ind w:firstLine="480" w:firstLineChars="200"/>
        <w:jc w:val="left"/>
        <w:rPr>
          <w:rFonts w:hint="eastAsia" w:ascii="仿宋_GB2312" w:eastAsia="仿宋_GB2312"/>
          <w:b w:val="0"/>
          <w:bCs w:val="0"/>
          <w:sz w:val="24"/>
        </w:rPr>
      </w:pPr>
      <w:r>
        <w:rPr>
          <w:rFonts w:hint="eastAsia" w:ascii="仿宋_GB2312" w:eastAsia="仿宋_GB2312"/>
          <w:b w:val="0"/>
          <w:bCs w:val="0"/>
          <w:sz w:val="24"/>
        </w:rPr>
        <w:t>南通大学学习满一年的普通本科生</w:t>
      </w:r>
      <w:r>
        <w:rPr>
          <w:rFonts w:hint="eastAsia" w:ascii="仿宋_GB2312" w:eastAsia="仿宋_GB2312"/>
          <w:b w:val="0"/>
          <w:bCs w:val="0"/>
          <w:sz w:val="24"/>
          <w:lang w:eastAsia="zh-CN"/>
        </w:rPr>
        <w:t>、</w:t>
      </w:r>
      <w:r>
        <w:rPr>
          <w:rFonts w:hint="eastAsia" w:ascii="仿宋_GB2312" w:eastAsia="仿宋_GB2312"/>
          <w:b w:val="0"/>
          <w:bCs w:val="0"/>
          <w:sz w:val="24"/>
          <w:lang w:val="en-US" w:eastAsia="zh-CN"/>
        </w:rPr>
        <w:t>党员（思想政治教育专业除外）</w:t>
      </w:r>
      <w:r>
        <w:rPr>
          <w:rFonts w:hint="eastAsia" w:ascii="仿宋_GB2312" w:eastAsia="仿宋_GB2312"/>
          <w:b w:val="0"/>
          <w:bCs w:val="0"/>
          <w:sz w:val="24"/>
          <w:lang w:eastAsia="zh-CN"/>
        </w:rPr>
        <w:t>，</w:t>
      </w:r>
      <w:r>
        <w:rPr>
          <w:rFonts w:hint="eastAsia" w:ascii="仿宋_GB2312" w:eastAsia="仿宋_GB2312"/>
          <w:b w:val="0"/>
          <w:bCs w:val="0"/>
          <w:sz w:val="24"/>
        </w:rPr>
        <w:t>主修专业无不及格课程，学有余力且对纪检监察领域有浓厚兴趣。</w:t>
      </w:r>
    </w:p>
    <w:p w14:paraId="5DD3692F">
      <w:pPr>
        <w:widowControl/>
        <w:spacing w:line="360" w:lineRule="auto"/>
        <w:jc w:val="left"/>
        <w:rPr>
          <w:rFonts w:hint="default" w:ascii="仿宋_GB2312" w:eastAsia="仿宋_GB2312"/>
          <w:b/>
          <w:bCs/>
          <w:sz w:val="24"/>
          <w:lang w:val="en-US" w:eastAsia="zh-CN"/>
        </w:rPr>
      </w:pPr>
      <w:r>
        <w:rPr>
          <w:rFonts w:hint="eastAsia" w:ascii="仿宋_GB2312" w:eastAsia="仿宋_GB2312"/>
          <w:b/>
          <w:bCs/>
          <w:sz w:val="24"/>
          <w:lang w:val="en-US" w:eastAsia="zh-CN"/>
        </w:rPr>
        <w:t>四、课程设置</w:t>
      </w:r>
    </w:p>
    <w:tbl>
      <w:tblPr>
        <w:tblStyle w:val="3"/>
        <w:tblpPr w:leftFromText="180" w:rightFromText="180" w:vertAnchor="text" w:horzAnchor="page" w:tblpXSpec="center" w:tblpY="167"/>
        <w:tblOverlap w:val="never"/>
        <w:tblW w:w="91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94"/>
        <w:gridCol w:w="1155"/>
        <w:gridCol w:w="1138"/>
        <w:gridCol w:w="1621"/>
        <w:gridCol w:w="1621"/>
      </w:tblGrid>
      <w:tr w14:paraId="7A1BC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4" w:type="dxa"/>
            <w:shd w:val="clear" w:color="auto" w:fill="auto"/>
          </w:tcPr>
          <w:p w14:paraId="0BC40043">
            <w:pPr>
              <w:widowControl/>
              <w:spacing w:line="360" w:lineRule="auto"/>
              <w:jc w:val="center"/>
              <w:rPr>
                <w:rFonts w:hint="eastAsia" w:ascii="仿宋_GB2312" w:eastAsia="仿宋_GB2312"/>
                <w:b/>
                <w:bCs/>
                <w:sz w:val="24"/>
              </w:rPr>
            </w:pPr>
            <w:r>
              <w:rPr>
                <w:rFonts w:hint="eastAsia" w:ascii="仿宋_GB2312" w:eastAsia="仿宋_GB2312"/>
                <w:b/>
                <w:bCs/>
                <w:sz w:val="24"/>
              </w:rPr>
              <w:t>课程名称</w:t>
            </w:r>
          </w:p>
        </w:tc>
        <w:tc>
          <w:tcPr>
            <w:tcW w:w="1155" w:type="dxa"/>
          </w:tcPr>
          <w:p w14:paraId="25972475">
            <w:pPr>
              <w:widowControl/>
              <w:spacing w:line="360" w:lineRule="auto"/>
              <w:jc w:val="center"/>
              <w:rPr>
                <w:rFonts w:hint="eastAsia" w:ascii="仿宋_GB2312" w:eastAsia="仿宋_GB2312"/>
                <w:b/>
                <w:bCs/>
                <w:sz w:val="24"/>
              </w:rPr>
            </w:pPr>
            <w:r>
              <w:rPr>
                <w:rFonts w:hint="eastAsia" w:ascii="仿宋_GB2312" w:eastAsia="仿宋_GB2312"/>
                <w:b/>
                <w:bCs/>
                <w:sz w:val="24"/>
              </w:rPr>
              <w:t>学时</w:t>
            </w:r>
          </w:p>
        </w:tc>
        <w:tc>
          <w:tcPr>
            <w:tcW w:w="1138" w:type="dxa"/>
          </w:tcPr>
          <w:p w14:paraId="4EB2803E">
            <w:pPr>
              <w:widowControl/>
              <w:spacing w:line="360" w:lineRule="auto"/>
              <w:jc w:val="center"/>
              <w:rPr>
                <w:rFonts w:hint="eastAsia" w:ascii="仿宋_GB2312" w:eastAsia="仿宋_GB2312"/>
                <w:b/>
                <w:bCs/>
                <w:sz w:val="24"/>
              </w:rPr>
            </w:pPr>
            <w:r>
              <w:rPr>
                <w:rFonts w:hint="eastAsia" w:ascii="仿宋_GB2312" w:eastAsia="仿宋_GB2312"/>
                <w:b/>
                <w:bCs/>
                <w:sz w:val="24"/>
              </w:rPr>
              <w:t>学分</w:t>
            </w:r>
          </w:p>
        </w:tc>
        <w:tc>
          <w:tcPr>
            <w:tcW w:w="1621" w:type="dxa"/>
          </w:tcPr>
          <w:p w14:paraId="617B3C11">
            <w:pPr>
              <w:widowControl/>
              <w:spacing w:line="360" w:lineRule="auto"/>
              <w:jc w:val="center"/>
              <w:rPr>
                <w:rFonts w:hint="default" w:ascii="仿宋_GB2312" w:eastAsia="仿宋_GB2312"/>
                <w:b/>
                <w:bCs/>
                <w:sz w:val="24"/>
                <w:lang w:val="en-US" w:eastAsia="zh-CN"/>
              </w:rPr>
            </w:pPr>
            <w:r>
              <w:rPr>
                <w:rFonts w:hint="eastAsia" w:ascii="仿宋_GB2312" w:eastAsia="仿宋_GB2312"/>
                <w:b/>
                <w:bCs/>
                <w:sz w:val="24"/>
                <w:lang w:val="en-US" w:eastAsia="zh-CN"/>
              </w:rPr>
              <w:t>考核方式</w:t>
            </w:r>
          </w:p>
        </w:tc>
        <w:tc>
          <w:tcPr>
            <w:tcW w:w="1621" w:type="dxa"/>
          </w:tcPr>
          <w:p w14:paraId="1D8E46FC">
            <w:pPr>
              <w:widowControl/>
              <w:spacing w:line="360" w:lineRule="auto"/>
              <w:jc w:val="center"/>
              <w:rPr>
                <w:rFonts w:hint="eastAsia" w:ascii="仿宋_GB2312" w:eastAsia="仿宋_GB2312"/>
                <w:b/>
                <w:bCs/>
                <w:sz w:val="24"/>
              </w:rPr>
            </w:pPr>
            <w:r>
              <w:rPr>
                <w:rFonts w:hint="eastAsia" w:ascii="仿宋_GB2312" w:eastAsia="仿宋_GB2312"/>
                <w:b/>
                <w:bCs/>
                <w:sz w:val="24"/>
              </w:rPr>
              <w:t>开课学期</w:t>
            </w:r>
          </w:p>
        </w:tc>
      </w:tr>
      <w:tr w14:paraId="20442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4" w:type="dxa"/>
            <w:vAlign w:val="center"/>
          </w:tcPr>
          <w:p w14:paraId="49EC871F">
            <w:pPr>
              <w:spacing w:line="400" w:lineRule="exact"/>
              <w:jc w:val="center"/>
              <w:rPr>
                <w:rFonts w:hint="eastAsia" w:eastAsia="仿宋_GB2312"/>
                <w:lang w:val="en-US" w:eastAsia="zh-CN"/>
              </w:rPr>
            </w:pPr>
            <w:r>
              <w:rPr>
                <w:rFonts w:hint="eastAsia" w:ascii="Times New Roman" w:hAnsi="Times New Roman" w:eastAsia="仿宋_GB2312"/>
              </w:rPr>
              <w:t>纪检监察</w:t>
            </w:r>
            <w:r>
              <w:rPr>
                <w:rFonts w:hint="eastAsia" w:eastAsia="仿宋_GB2312"/>
                <w:lang w:val="en-US" w:eastAsia="zh-CN"/>
              </w:rPr>
              <w:t>学</w:t>
            </w:r>
          </w:p>
          <w:p w14:paraId="50AFC1C0">
            <w:pPr>
              <w:spacing w:line="400" w:lineRule="exact"/>
              <w:jc w:val="center"/>
              <w:rPr>
                <w:rFonts w:hint="eastAsia" w:ascii="仿宋_GB2312" w:eastAsia="仿宋_GB2312"/>
                <w:b/>
                <w:bCs/>
                <w:sz w:val="24"/>
              </w:rPr>
            </w:pPr>
            <w:r>
              <w:rPr>
                <w:rFonts w:hint="eastAsia" w:eastAsia="仿宋_GB2312"/>
                <w:lang w:val="en-US" w:eastAsia="zh-CN"/>
              </w:rPr>
              <w:t>Discipline Inspection and Supervision</w:t>
            </w:r>
          </w:p>
        </w:tc>
        <w:tc>
          <w:tcPr>
            <w:tcW w:w="1155" w:type="dxa"/>
            <w:shd w:val="clear" w:color="auto" w:fill="auto"/>
            <w:vAlign w:val="center"/>
          </w:tcPr>
          <w:p w14:paraId="1A8EED6A">
            <w:pPr>
              <w:spacing w:line="400" w:lineRule="exact"/>
              <w:jc w:val="center"/>
              <w:rPr>
                <w:rFonts w:hint="eastAsia" w:ascii="宋体" w:hAnsi="宋体" w:eastAsia="仿宋" w:cs="宋体"/>
                <w:sz w:val="24"/>
                <w:lang w:val="en-US" w:eastAsia="zh-CN" w:bidi="ar-SA"/>
              </w:rPr>
            </w:pPr>
            <w:r>
              <w:rPr>
                <w:rFonts w:hint="eastAsia" w:ascii="Times New Roman" w:hAnsi="Times New Roman" w:eastAsia="仿宋_GB2312"/>
                <w:lang w:val="en-US" w:eastAsia="zh-CN"/>
              </w:rPr>
              <w:t>48</w:t>
            </w:r>
          </w:p>
        </w:tc>
        <w:tc>
          <w:tcPr>
            <w:tcW w:w="1138" w:type="dxa"/>
            <w:shd w:val="clear" w:color="auto" w:fill="auto"/>
            <w:vAlign w:val="center"/>
          </w:tcPr>
          <w:p w14:paraId="7A496B0D">
            <w:pPr>
              <w:widowControl/>
              <w:snapToGrid w:val="0"/>
              <w:jc w:val="center"/>
              <w:rPr>
                <w:rFonts w:hint="eastAsia" w:ascii="宋体" w:hAnsi="宋体" w:eastAsia="仿宋" w:cs="宋体"/>
                <w:sz w:val="24"/>
                <w:lang w:val="en-US" w:eastAsia="zh-CN" w:bidi="ar-SA"/>
              </w:rPr>
            </w:pPr>
            <w:r>
              <w:rPr>
                <w:rFonts w:hint="eastAsia" w:eastAsia="仿宋"/>
                <w:sz w:val="24"/>
                <w:lang w:val="en-US" w:eastAsia="zh-CN"/>
              </w:rPr>
              <w:t>3</w:t>
            </w:r>
          </w:p>
        </w:tc>
        <w:tc>
          <w:tcPr>
            <w:tcW w:w="1621" w:type="dxa"/>
            <w:shd w:val="clear" w:color="auto" w:fill="auto"/>
            <w:vAlign w:val="center"/>
          </w:tcPr>
          <w:p w14:paraId="592D4B64">
            <w:pPr>
              <w:widowControl/>
              <w:snapToGrid w:val="0"/>
              <w:jc w:val="center"/>
              <w:rPr>
                <w:rFonts w:hint="default" w:eastAsia="仿宋"/>
                <w:sz w:val="24"/>
                <w:lang w:val="en-US" w:eastAsia="zh-CN"/>
              </w:rPr>
            </w:pPr>
            <w:r>
              <w:rPr>
                <w:rFonts w:hint="eastAsia" w:eastAsia="仿宋"/>
                <w:sz w:val="24"/>
                <w:lang w:val="en-US" w:eastAsia="zh-CN"/>
              </w:rPr>
              <w:t>考试</w:t>
            </w:r>
          </w:p>
        </w:tc>
        <w:tc>
          <w:tcPr>
            <w:tcW w:w="1621" w:type="dxa"/>
            <w:shd w:val="clear" w:color="auto" w:fill="auto"/>
            <w:vAlign w:val="center"/>
          </w:tcPr>
          <w:p w14:paraId="2D201F63">
            <w:pPr>
              <w:spacing w:line="400" w:lineRule="exact"/>
              <w:jc w:val="center"/>
              <w:rPr>
                <w:rFonts w:hint="eastAsia" w:ascii="宋体" w:hAnsi="宋体" w:eastAsia="仿宋" w:cs="宋体"/>
                <w:sz w:val="24"/>
                <w:lang w:val="en-US" w:eastAsia="zh-CN" w:bidi="ar-SA"/>
              </w:rPr>
            </w:pPr>
            <w:r>
              <w:rPr>
                <w:rFonts w:hint="eastAsia" w:ascii="Times New Roman" w:hAnsi="Times New Roman" w:eastAsia="仿宋_GB2312"/>
              </w:rPr>
              <w:t>3</w:t>
            </w:r>
            <w:r>
              <w:rPr>
                <w:rFonts w:ascii="Times New Roman" w:hAnsi="Times New Roman" w:eastAsia="仿宋_GB2312"/>
              </w:rPr>
              <w:t>/5</w:t>
            </w:r>
          </w:p>
        </w:tc>
      </w:tr>
      <w:tr w14:paraId="6273B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4" w:type="dxa"/>
            <w:vAlign w:val="center"/>
          </w:tcPr>
          <w:p w14:paraId="66EF3335">
            <w:pPr>
              <w:spacing w:line="400" w:lineRule="exact"/>
              <w:jc w:val="center"/>
              <w:rPr>
                <w:rFonts w:hint="eastAsia" w:eastAsia="仿宋_GB2312"/>
                <w:lang w:val="en-US" w:eastAsia="zh-CN"/>
              </w:rPr>
            </w:pPr>
            <w:r>
              <w:rPr>
                <w:rFonts w:hint="eastAsia" w:ascii="Times New Roman" w:hAnsi="Times New Roman" w:eastAsia="仿宋_GB2312"/>
              </w:rPr>
              <w:t>党</w:t>
            </w:r>
            <w:r>
              <w:rPr>
                <w:rFonts w:hint="eastAsia" w:eastAsia="仿宋_GB2312"/>
                <w:lang w:val="en-US" w:eastAsia="zh-CN"/>
              </w:rPr>
              <w:t>内法规学</w:t>
            </w:r>
          </w:p>
          <w:p w14:paraId="6A057BA0">
            <w:pPr>
              <w:spacing w:line="400" w:lineRule="exact"/>
              <w:jc w:val="center"/>
              <w:rPr>
                <w:rFonts w:hint="eastAsia" w:ascii="仿宋_GB2312" w:eastAsia="仿宋_GB2312"/>
                <w:b/>
                <w:bCs/>
                <w:sz w:val="24"/>
              </w:rPr>
            </w:pPr>
            <w:r>
              <w:rPr>
                <w:rFonts w:hint="default" w:eastAsia="仿宋_GB2312"/>
                <w:lang w:val="en-US" w:eastAsia="zh-CN"/>
              </w:rPr>
              <w:t>Party Regulations</w:t>
            </w:r>
          </w:p>
        </w:tc>
        <w:tc>
          <w:tcPr>
            <w:tcW w:w="1155" w:type="dxa"/>
            <w:shd w:val="clear" w:color="auto" w:fill="auto"/>
            <w:vAlign w:val="center"/>
          </w:tcPr>
          <w:p w14:paraId="1A045B5E">
            <w:pPr>
              <w:spacing w:line="400" w:lineRule="exact"/>
              <w:jc w:val="center"/>
              <w:rPr>
                <w:rFonts w:hint="eastAsia" w:ascii="宋体" w:hAnsi="宋体" w:eastAsia="仿宋" w:cs="宋体"/>
                <w:sz w:val="24"/>
                <w:lang w:val="en-US" w:eastAsia="zh-CN" w:bidi="ar-SA"/>
              </w:rPr>
            </w:pPr>
            <w:r>
              <w:rPr>
                <w:rFonts w:hint="eastAsia" w:ascii="Times New Roman" w:hAnsi="Times New Roman" w:eastAsia="仿宋_GB2312"/>
                <w:lang w:val="en-US" w:eastAsia="zh-CN"/>
              </w:rPr>
              <w:t>48</w:t>
            </w:r>
          </w:p>
        </w:tc>
        <w:tc>
          <w:tcPr>
            <w:tcW w:w="1138" w:type="dxa"/>
            <w:shd w:val="clear" w:color="auto" w:fill="auto"/>
            <w:vAlign w:val="center"/>
          </w:tcPr>
          <w:p w14:paraId="41DB7C6F">
            <w:pPr>
              <w:widowControl/>
              <w:snapToGrid w:val="0"/>
              <w:jc w:val="center"/>
              <w:rPr>
                <w:rFonts w:hint="eastAsia" w:ascii="宋体" w:hAnsi="宋体" w:eastAsia="仿宋" w:cs="宋体"/>
                <w:sz w:val="24"/>
                <w:lang w:val="en-US" w:eastAsia="zh-CN" w:bidi="ar-SA"/>
              </w:rPr>
            </w:pPr>
            <w:r>
              <w:rPr>
                <w:rFonts w:hint="eastAsia" w:eastAsia="仿宋"/>
                <w:sz w:val="24"/>
                <w:lang w:val="en-US" w:eastAsia="zh-CN"/>
              </w:rPr>
              <w:t>3</w:t>
            </w:r>
          </w:p>
        </w:tc>
        <w:tc>
          <w:tcPr>
            <w:tcW w:w="1621" w:type="dxa"/>
            <w:shd w:val="clear" w:color="auto" w:fill="auto"/>
            <w:vAlign w:val="center"/>
          </w:tcPr>
          <w:p w14:paraId="6AEB2653">
            <w:pPr>
              <w:widowControl/>
              <w:snapToGrid w:val="0"/>
              <w:jc w:val="center"/>
              <w:rPr>
                <w:rFonts w:hint="eastAsia" w:eastAsia="仿宋"/>
                <w:sz w:val="24"/>
                <w:lang w:val="en-US" w:eastAsia="zh-CN"/>
              </w:rPr>
            </w:pPr>
            <w:r>
              <w:rPr>
                <w:rFonts w:hint="eastAsia" w:eastAsia="仿宋"/>
                <w:sz w:val="24"/>
                <w:lang w:val="en-US" w:eastAsia="zh-CN"/>
              </w:rPr>
              <w:t>考试</w:t>
            </w:r>
          </w:p>
        </w:tc>
        <w:tc>
          <w:tcPr>
            <w:tcW w:w="1621" w:type="dxa"/>
            <w:shd w:val="clear" w:color="auto" w:fill="auto"/>
            <w:vAlign w:val="center"/>
          </w:tcPr>
          <w:p w14:paraId="24F4E40F">
            <w:pPr>
              <w:spacing w:line="400" w:lineRule="exact"/>
              <w:jc w:val="center"/>
              <w:rPr>
                <w:rFonts w:hint="eastAsia" w:ascii="宋体" w:hAnsi="宋体" w:eastAsia="仿宋" w:cs="宋体"/>
                <w:sz w:val="24"/>
                <w:lang w:val="en-US" w:eastAsia="zh-CN" w:bidi="ar-SA"/>
              </w:rPr>
            </w:pPr>
            <w:r>
              <w:rPr>
                <w:rFonts w:hint="eastAsia" w:ascii="Times New Roman" w:hAnsi="Times New Roman" w:eastAsia="仿宋_GB2312"/>
              </w:rPr>
              <w:t>3</w:t>
            </w:r>
            <w:r>
              <w:rPr>
                <w:rFonts w:ascii="Times New Roman" w:hAnsi="Times New Roman" w:eastAsia="仿宋_GB2312"/>
              </w:rPr>
              <w:t>/5</w:t>
            </w:r>
          </w:p>
        </w:tc>
      </w:tr>
      <w:tr w14:paraId="3CFF0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4" w:type="dxa"/>
            <w:vAlign w:val="center"/>
          </w:tcPr>
          <w:p w14:paraId="0FBDF9E2">
            <w:pPr>
              <w:spacing w:line="400" w:lineRule="exact"/>
              <w:jc w:val="center"/>
              <w:rPr>
                <w:rFonts w:hint="eastAsia" w:ascii="Times New Roman" w:hAnsi="Times New Roman" w:eastAsia="仿宋_GB2312"/>
              </w:rPr>
            </w:pPr>
            <w:r>
              <w:rPr>
                <w:rFonts w:hint="eastAsia" w:ascii="Times New Roman" w:hAnsi="Times New Roman" w:eastAsia="仿宋_GB2312"/>
              </w:rPr>
              <w:t>监察法学</w:t>
            </w:r>
          </w:p>
          <w:p w14:paraId="7532BFD0">
            <w:pPr>
              <w:spacing w:line="400" w:lineRule="exact"/>
              <w:jc w:val="center"/>
              <w:rPr>
                <w:rFonts w:hint="eastAsia" w:ascii="仿宋_GB2312" w:eastAsia="仿宋_GB2312"/>
                <w:b/>
                <w:bCs/>
                <w:sz w:val="24"/>
              </w:rPr>
            </w:pPr>
            <w:r>
              <w:rPr>
                <w:rFonts w:hint="eastAsia" w:ascii="Times New Roman" w:hAnsi="Times New Roman" w:eastAsia="仿宋_GB2312"/>
              </w:rPr>
              <w:t xml:space="preserve"> Supervision</w:t>
            </w:r>
            <w:r>
              <w:rPr>
                <w:rFonts w:hint="eastAsia" w:eastAsia="仿宋_GB2312"/>
                <w:lang w:val="en-US" w:eastAsia="zh-CN"/>
              </w:rPr>
              <w:t xml:space="preserve"> </w:t>
            </w:r>
            <w:r>
              <w:rPr>
                <w:rFonts w:hint="eastAsia" w:ascii="Times New Roman" w:hAnsi="Times New Roman" w:eastAsia="仿宋_GB2312"/>
              </w:rPr>
              <w:t>Law</w:t>
            </w:r>
          </w:p>
        </w:tc>
        <w:tc>
          <w:tcPr>
            <w:tcW w:w="1155" w:type="dxa"/>
            <w:shd w:val="clear" w:color="auto" w:fill="auto"/>
            <w:vAlign w:val="center"/>
          </w:tcPr>
          <w:p w14:paraId="67821F56">
            <w:pPr>
              <w:spacing w:line="400" w:lineRule="exact"/>
              <w:jc w:val="center"/>
              <w:rPr>
                <w:rFonts w:hint="eastAsia" w:ascii="宋体" w:hAnsi="宋体" w:eastAsia="仿宋" w:cs="宋体"/>
                <w:sz w:val="24"/>
                <w:lang w:val="en-US" w:eastAsia="zh-CN" w:bidi="ar-SA"/>
              </w:rPr>
            </w:pPr>
            <w:r>
              <w:rPr>
                <w:rFonts w:hint="eastAsia" w:ascii="Times New Roman" w:hAnsi="Times New Roman" w:eastAsia="仿宋_GB2312"/>
                <w:lang w:val="en-US" w:eastAsia="zh-CN"/>
              </w:rPr>
              <w:t>48</w:t>
            </w:r>
          </w:p>
        </w:tc>
        <w:tc>
          <w:tcPr>
            <w:tcW w:w="1138" w:type="dxa"/>
            <w:shd w:val="clear" w:color="auto" w:fill="auto"/>
            <w:vAlign w:val="center"/>
          </w:tcPr>
          <w:p w14:paraId="25EE8C14">
            <w:pPr>
              <w:widowControl/>
              <w:snapToGrid w:val="0"/>
              <w:jc w:val="center"/>
              <w:rPr>
                <w:rFonts w:hint="eastAsia" w:ascii="宋体" w:hAnsi="宋体" w:eastAsia="仿宋" w:cs="宋体"/>
                <w:sz w:val="24"/>
                <w:lang w:val="en-US" w:eastAsia="zh-CN" w:bidi="ar-SA"/>
              </w:rPr>
            </w:pPr>
            <w:r>
              <w:rPr>
                <w:rFonts w:hint="eastAsia" w:eastAsia="仿宋"/>
                <w:sz w:val="24"/>
                <w:lang w:val="en-US" w:eastAsia="zh-CN"/>
              </w:rPr>
              <w:t>3</w:t>
            </w:r>
          </w:p>
        </w:tc>
        <w:tc>
          <w:tcPr>
            <w:tcW w:w="1621" w:type="dxa"/>
            <w:shd w:val="clear" w:color="auto" w:fill="auto"/>
            <w:vAlign w:val="center"/>
          </w:tcPr>
          <w:p w14:paraId="7A7AAE60">
            <w:pPr>
              <w:widowControl/>
              <w:snapToGrid w:val="0"/>
              <w:jc w:val="center"/>
              <w:rPr>
                <w:rFonts w:hint="eastAsia" w:eastAsia="仿宋"/>
                <w:sz w:val="24"/>
                <w:lang w:val="en-US" w:eastAsia="zh-CN"/>
              </w:rPr>
            </w:pPr>
            <w:r>
              <w:rPr>
                <w:rFonts w:hint="eastAsia" w:eastAsia="仿宋"/>
                <w:sz w:val="24"/>
                <w:lang w:val="en-US" w:eastAsia="zh-CN"/>
              </w:rPr>
              <w:t>考试</w:t>
            </w:r>
          </w:p>
        </w:tc>
        <w:tc>
          <w:tcPr>
            <w:tcW w:w="1621" w:type="dxa"/>
            <w:shd w:val="clear" w:color="auto" w:fill="auto"/>
            <w:vAlign w:val="center"/>
          </w:tcPr>
          <w:p w14:paraId="04118CC6">
            <w:pPr>
              <w:spacing w:line="400" w:lineRule="exact"/>
              <w:jc w:val="center"/>
              <w:rPr>
                <w:rFonts w:hint="eastAsia" w:ascii="宋体" w:hAnsi="宋体" w:eastAsia="仿宋" w:cs="宋体"/>
                <w:sz w:val="24"/>
                <w:lang w:val="en-US" w:eastAsia="zh-CN" w:bidi="ar-SA"/>
              </w:rPr>
            </w:pPr>
            <w:r>
              <w:rPr>
                <w:rFonts w:hint="eastAsia" w:ascii="Times New Roman" w:hAnsi="Times New Roman" w:eastAsia="仿宋_GB2312"/>
              </w:rPr>
              <w:t>4</w:t>
            </w:r>
            <w:r>
              <w:rPr>
                <w:rFonts w:ascii="Times New Roman" w:hAnsi="Times New Roman" w:eastAsia="仿宋_GB2312"/>
              </w:rPr>
              <w:t>/6</w:t>
            </w:r>
          </w:p>
        </w:tc>
      </w:tr>
      <w:tr w14:paraId="557E5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4" w:type="dxa"/>
            <w:vAlign w:val="center"/>
          </w:tcPr>
          <w:p w14:paraId="33723CFA">
            <w:pPr>
              <w:spacing w:line="400" w:lineRule="exact"/>
              <w:jc w:val="center"/>
              <w:rPr>
                <w:rFonts w:hint="default" w:ascii="Times New Roman" w:hAnsi="Times New Roman" w:eastAsia="仿宋_GB2312"/>
                <w:lang w:val="en-US" w:eastAsia="zh-CN"/>
              </w:rPr>
            </w:pPr>
            <w:r>
              <w:rPr>
                <w:rFonts w:hint="eastAsia" w:ascii="Times New Roman" w:hAnsi="Times New Roman" w:eastAsia="仿宋_GB2312"/>
                <w:lang w:val="en-US" w:eastAsia="zh-CN"/>
              </w:rPr>
              <w:t>廉洁教育概论</w:t>
            </w:r>
          </w:p>
          <w:p w14:paraId="187549CC">
            <w:pPr>
              <w:spacing w:line="400" w:lineRule="exact"/>
              <w:jc w:val="center"/>
              <w:rPr>
                <w:rFonts w:hint="eastAsia" w:ascii="仿宋_GB2312" w:eastAsia="仿宋_GB2312"/>
                <w:b/>
                <w:bCs/>
                <w:sz w:val="24"/>
              </w:rPr>
            </w:pPr>
            <w:r>
              <w:rPr>
                <w:rFonts w:hint="default" w:eastAsia="仿宋_GB2312"/>
                <w:lang w:val="en-US" w:eastAsia="zh-CN"/>
              </w:rPr>
              <w:t>Introduction to Integrity Education</w:t>
            </w:r>
          </w:p>
        </w:tc>
        <w:tc>
          <w:tcPr>
            <w:tcW w:w="1155" w:type="dxa"/>
            <w:shd w:val="clear" w:color="auto" w:fill="auto"/>
            <w:vAlign w:val="center"/>
          </w:tcPr>
          <w:p w14:paraId="3763A684">
            <w:pPr>
              <w:spacing w:line="400" w:lineRule="exact"/>
              <w:jc w:val="center"/>
              <w:rPr>
                <w:rFonts w:hint="eastAsia" w:ascii="宋体" w:hAnsi="宋体" w:eastAsia="仿宋" w:cs="宋体"/>
                <w:sz w:val="24"/>
                <w:lang w:val="en-US" w:eastAsia="zh-CN" w:bidi="ar-SA"/>
              </w:rPr>
            </w:pPr>
            <w:r>
              <w:rPr>
                <w:rFonts w:hint="eastAsia" w:ascii="Times New Roman" w:hAnsi="Times New Roman" w:eastAsia="仿宋_GB2312"/>
                <w:lang w:val="en-US" w:eastAsia="zh-CN"/>
              </w:rPr>
              <w:t>48</w:t>
            </w:r>
          </w:p>
        </w:tc>
        <w:tc>
          <w:tcPr>
            <w:tcW w:w="1138" w:type="dxa"/>
            <w:shd w:val="clear" w:color="auto" w:fill="auto"/>
            <w:vAlign w:val="center"/>
          </w:tcPr>
          <w:p w14:paraId="00C70ACF">
            <w:pPr>
              <w:widowControl/>
              <w:snapToGrid w:val="0"/>
              <w:jc w:val="center"/>
              <w:rPr>
                <w:rFonts w:hint="eastAsia" w:ascii="宋体" w:hAnsi="宋体" w:eastAsia="仿宋" w:cs="宋体"/>
                <w:sz w:val="24"/>
                <w:lang w:val="en-US" w:eastAsia="zh-CN" w:bidi="ar-SA"/>
              </w:rPr>
            </w:pPr>
            <w:r>
              <w:rPr>
                <w:rFonts w:hint="eastAsia" w:eastAsia="仿宋"/>
                <w:sz w:val="24"/>
                <w:lang w:val="en-US" w:eastAsia="zh-CN"/>
              </w:rPr>
              <w:t>3</w:t>
            </w:r>
          </w:p>
        </w:tc>
        <w:tc>
          <w:tcPr>
            <w:tcW w:w="1621" w:type="dxa"/>
            <w:shd w:val="clear" w:color="auto" w:fill="auto"/>
            <w:vAlign w:val="center"/>
          </w:tcPr>
          <w:p w14:paraId="5733F6BA">
            <w:pPr>
              <w:widowControl/>
              <w:snapToGrid w:val="0"/>
              <w:jc w:val="center"/>
              <w:rPr>
                <w:rFonts w:hint="eastAsia" w:eastAsia="仿宋"/>
                <w:sz w:val="24"/>
                <w:lang w:val="en-US" w:eastAsia="zh-CN"/>
              </w:rPr>
            </w:pPr>
            <w:r>
              <w:rPr>
                <w:rFonts w:hint="eastAsia" w:eastAsia="仿宋"/>
                <w:sz w:val="24"/>
                <w:lang w:val="en-US" w:eastAsia="zh-CN"/>
              </w:rPr>
              <w:t>考试</w:t>
            </w:r>
          </w:p>
        </w:tc>
        <w:tc>
          <w:tcPr>
            <w:tcW w:w="1621" w:type="dxa"/>
            <w:shd w:val="clear" w:color="auto" w:fill="auto"/>
            <w:vAlign w:val="center"/>
          </w:tcPr>
          <w:p w14:paraId="49303F40">
            <w:pPr>
              <w:spacing w:line="400" w:lineRule="exact"/>
              <w:jc w:val="center"/>
              <w:rPr>
                <w:rFonts w:hint="eastAsia" w:ascii="宋体" w:hAnsi="宋体" w:eastAsia="仿宋" w:cs="宋体"/>
                <w:sz w:val="24"/>
                <w:lang w:val="en-US" w:eastAsia="zh-CN" w:bidi="ar-SA"/>
              </w:rPr>
            </w:pPr>
            <w:r>
              <w:rPr>
                <w:rFonts w:hint="eastAsia" w:ascii="Times New Roman" w:hAnsi="Times New Roman" w:eastAsia="仿宋_GB2312"/>
              </w:rPr>
              <w:t>4</w:t>
            </w:r>
            <w:r>
              <w:rPr>
                <w:rFonts w:ascii="Times New Roman" w:hAnsi="Times New Roman" w:eastAsia="仿宋_GB2312"/>
              </w:rPr>
              <w:t>/6</w:t>
            </w:r>
          </w:p>
        </w:tc>
      </w:tr>
      <w:tr w14:paraId="19350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4" w:type="dxa"/>
            <w:vAlign w:val="center"/>
          </w:tcPr>
          <w:p w14:paraId="1EDDB6F1">
            <w:pPr>
              <w:spacing w:line="400" w:lineRule="exact"/>
              <w:jc w:val="center"/>
              <w:rPr>
                <w:rFonts w:hint="default" w:eastAsia="仿宋_GB2312"/>
                <w:lang w:val="en-US" w:eastAsia="zh-CN"/>
              </w:rPr>
            </w:pPr>
            <w:r>
              <w:rPr>
                <w:rFonts w:hint="eastAsia" w:eastAsia="仿宋_GB2312"/>
                <w:lang w:val="en-US" w:eastAsia="zh-CN"/>
              </w:rPr>
              <w:t>合计</w:t>
            </w:r>
          </w:p>
        </w:tc>
        <w:tc>
          <w:tcPr>
            <w:tcW w:w="1155" w:type="dxa"/>
            <w:shd w:val="clear" w:color="auto" w:fill="auto"/>
            <w:vAlign w:val="center"/>
          </w:tcPr>
          <w:p w14:paraId="06494EB6">
            <w:pPr>
              <w:spacing w:line="400" w:lineRule="exact"/>
              <w:jc w:val="center"/>
              <w:rPr>
                <w:rFonts w:hint="default" w:ascii="Times New Roman" w:hAnsi="Times New Roman" w:eastAsia="仿宋_GB2312"/>
                <w:lang w:val="en-US" w:eastAsia="zh-CN"/>
              </w:rPr>
            </w:pPr>
            <w:r>
              <w:rPr>
                <w:rFonts w:hint="eastAsia" w:ascii="Times New Roman" w:hAnsi="Times New Roman" w:eastAsia="仿宋_GB2312"/>
                <w:lang w:val="en-US" w:eastAsia="zh-CN"/>
              </w:rPr>
              <w:t>192</w:t>
            </w:r>
          </w:p>
        </w:tc>
        <w:tc>
          <w:tcPr>
            <w:tcW w:w="1138" w:type="dxa"/>
            <w:shd w:val="clear" w:color="auto" w:fill="auto"/>
            <w:vAlign w:val="center"/>
          </w:tcPr>
          <w:p w14:paraId="79ED93CF">
            <w:pPr>
              <w:widowControl/>
              <w:snapToGrid w:val="0"/>
              <w:jc w:val="center"/>
              <w:rPr>
                <w:rFonts w:hint="default" w:eastAsia="仿宋"/>
                <w:sz w:val="24"/>
                <w:lang w:val="en-US" w:eastAsia="zh-CN"/>
              </w:rPr>
            </w:pPr>
            <w:r>
              <w:rPr>
                <w:rFonts w:hint="eastAsia" w:eastAsia="仿宋"/>
                <w:sz w:val="24"/>
                <w:lang w:val="en-US" w:eastAsia="zh-CN"/>
              </w:rPr>
              <w:t>12</w:t>
            </w:r>
          </w:p>
        </w:tc>
        <w:tc>
          <w:tcPr>
            <w:tcW w:w="1621" w:type="dxa"/>
            <w:shd w:val="clear" w:color="auto" w:fill="auto"/>
            <w:vAlign w:val="center"/>
          </w:tcPr>
          <w:p w14:paraId="193014AB">
            <w:pPr>
              <w:widowControl/>
              <w:snapToGrid w:val="0"/>
              <w:jc w:val="center"/>
              <w:rPr>
                <w:rFonts w:hint="eastAsia" w:eastAsia="仿宋"/>
                <w:sz w:val="24"/>
                <w:lang w:val="en-US" w:eastAsia="zh-CN"/>
              </w:rPr>
            </w:pPr>
          </w:p>
        </w:tc>
        <w:tc>
          <w:tcPr>
            <w:tcW w:w="1621" w:type="dxa"/>
            <w:shd w:val="clear" w:color="auto" w:fill="auto"/>
            <w:vAlign w:val="center"/>
          </w:tcPr>
          <w:p w14:paraId="0196A8D9">
            <w:pPr>
              <w:spacing w:line="400" w:lineRule="exact"/>
              <w:jc w:val="center"/>
              <w:rPr>
                <w:rFonts w:hint="eastAsia" w:ascii="Times New Roman" w:hAnsi="Times New Roman" w:eastAsia="仿宋_GB2312"/>
              </w:rPr>
            </w:pPr>
            <w:bookmarkStart w:id="0" w:name="_GoBack"/>
            <w:bookmarkEnd w:id="0"/>
          </w:p>
        </w:tc>
      </w:tr>
    </w:tbl>
    <w:p w14:paraId="3B19B587">
      <w:pPr>
        <w:widowControl/>
        <w:spacing w:line="360" w:lineRule="auto"/>
        <w:jc w:val="left"/>
        <w:rPr>
          <w:rFonts w:hint="default" w:ascii="仿宋_GB2312" w:eastAsia="仿宋_GB2312"/>
          <w:b/>
          <w:bCs/>
          <w:sz w:val="24"/>
          <w:lang w:val="en-US" w:eastAsia="zh-CN"/>
        </w:rPr>
      </w:pPr>
      <w:r>
        <w:rPr>
          <w:rFonts w:hint="eastAsia" w:ascii="仿宋_GB2312" w:eastAsia="仿宋_GB2312"/>
          <w:b/>
          <w:bCs/>
          <w:sz w:val="24"/>
          <w:lang w:val="en-US" w:eastAsia="zh-CN"/>
        </w:rPr>
        <w:t>五、评价形式</w:t>
      </w:r>
    </w:p>
    <w:p w14:paraId="7758E156">
      <w:pPr>
        <w:widowControl/>
        <w:spacing w:line="360" w:lineRule="auto"/>
        <w:ind w:firstLine="480" w:firstLineChars="200"/>
        <w:jc w:val="left"/>
        <w:rPr>
          <w:rFonts w:hint="eastAsia" w:ascii="仿宋_GB2312" w:eastAsia="仿宋_GB2312"/>
          <w:b w:val="0"/>
          <w:bCs w:val="0"/>
          <w:sz w:val="24"/>
        </w:rPr>
      </w:pPr>
      <w:r>
        <w:rPr>
          <w:rFonts w:hint="eastAsia" w:ascii="仿宋_GB2312" w:eastAsia="仿宋_GB2312"/>
          <w:b w:val="0"/>
          <w:bCs w:val="0"/>
          <w:sz w:val="24"/>
        </w:rPr>
        <w:t>理论课程采用 “课堂表现（</w:t>
      </w:r>
      <w:r>
        <w:rPr>
          <w:rFonts w:hint="eastAsia" w:ascii="仿宋_GB2312" w:eastAsia="仿宋_GB2312"/>
          <w:b w:val="0"/>
          <w:bCs w:val="0"/>
          <w:sz w:val="24"/>
          <w:lang w:val="en-US" w:eastAsia="zh-CN"/>
        </w:rPr>
        <w:t>20</w:t>
      </w:r>
      <w:r>
        <w:rPr>
          <w:rFonts w:hint="eastAsia" w:ascii="仿宋_GB2312" w:eastAsia="仿宋_GB2312"/>
          <w:b w:val="0"/>
          <w:bCs w:val="0"/>
          <w:sz w:val="24"/>
        </w:rPr>
        <w:t xml:space="preserve">%）+ </w:t>
      </w:r>
      <w:r>
        <w:rPr>
          <w:rFonts w:hint="eastAsia" w:ascii="仿宋_GB2312" w:eastAsia="仿宋_GB2312"/>
          <w:b w:val="0"/>
          <w:bCs w:val="0"/>
          <w:sz w:val="24"/>
          <w:lang w:val="en-US" w:eastAsia="zh-CN"/>
        </w:rPr>
        <w:t>平时作业</w:t>
      </w:r>
      <w:r>
        <w:rPr>
          <w:rFonts w:hint="eastAsia" w:ascii="仿宋_GB2312" w:eastAsia="仿宋_GB2312"/>
          <w:b w:val="0"/>
          <w:bCs w:val="0"/>
          <w:sz w:val="24"/>
        </w:rPr>
        <w:t xml:space="preserve"> / 案例分析报告（30%）+ 期末考试（</w:t>
      </w:r>
      <w:r>
        <w:rPr>
          <w:rFonts w:hint="eastAsia" w:ascii="仿宋_GB2312" w:eastAsia="仿宋_GB2312"/>
          <w:b w:val="0"/>
          <w:bCs w:val="0"/>
          <w:sz w:val="24"/>
          <w:lang w:val="en-US" w:eastAsia="zh-CN"/>
        </w:rPr>
        <w:t>5</w:t>
      </w:r>
      <w:r>
        <w:rPr>
          <w:rFonts w:hint="eastAsia" w:ascii="仿宋_GB2312" w:eastAsia="仿宋_GB2312"/>
          <w:b w:val="0"/>
          <w:bCs w:val="0"/>
          <w:sz w:val="24"/>
        </w:rPr>
        <w:t>0%）” 模式，侧重知识理解与应用；实践环节以项目成果、实训报告、团队协作表现等为考核依据，强化实操能力。</w:t>
      </w:r>
    </w:p>
    <w:p w14:paraId="2EFE22D0">
      <w:pPr>
        <w:widowControl/>
        <w:spacing w:line="360" w:lineRule="auto"/>
        <w:ind w:firstLine="480" w:firstLineChars="200"/>
        <w:jc w:val="left"/>
        <w:rPr>
          <w:rFonts w:hint="eastAsia" w:ascii="仿宋_GB2312" w:eastAsia="仿宋_GB2312"/>
          <w:b w:val="0"/>
          <w:bCs w:val="0"/>
          <w:sz w:val="24"/>
        </w:rPr>
      </w:pPr>
    </w:p>
    <w:p w14:paraId="41F469B0">
      <w:pPr>
        <w:widowControl/>
        <w:spacing w:line="360" w:lineRule="auto"/>
        <w:jc w:val="left"/>
        <w:rPr>
          <w:rFonts w:hint="eastAsia" w:ascii="仿宋_GB2312" w:eastAsia="仿宋_GB2312"/>
          <w:sz w:val="24"/>
        </w:rPr>
      </w:pPr>
    </w:p>
    <w:p w14:paraId="7B8585BB">
      <w:pPr>
        <w:jc w:val="both"/>
        <w:rPr>
          <w:rFonts w:hint="default"/>
          <w:b/>
          <w:bCs/>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0652FE"/>
    <w:rsid w:val="6C0652FE"/>
    <w:rsid w:val="70BC56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b3814395-49cc-4c97-aa43-d4fe59de26e4</errorID>
      <errorWord>，有</errorWord>
      <group>L1_Word</group>
      <groupName>字词问题</groupName>
      <ability>L2_Typo</ability>
      <abilityName>字词错误</abilityName>
      <candidateList>
        <item>，</item>
      </candidateList>
      <explain/>
      <paraID>48F150C7</paraID>
      <start>68</start>
      <end>69</end>
      <status>modified</status>
      <modifiedWord>，</modifiedWord>
      <trackRevisions>false</trackRevisions>
    </reviewItem>
  </reviewItems>
  <config/>
</contractReview>
</file>

<file path=customXml/itemProps1.xml><?xml version="1.0" encoding="utf-8"?>
<ds:datastoreItem xmlns:ds="http://schemas.openxmlformats.org/officeDocument/2006/customXml" ds:itemID="{a0a0160c-0b91-489c-a13a-c4d8267d7828}">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1020</Words>
  <Characters>1133</Characters>
  <Lines>0</Lines>
  <Paragraphs>0</Paragraphs>
  <TotalTime>4</TotalTime>
  <ScaleCrop>false</ScaleCrop>
  <LinksUpToDate>false</LinksUpToDate>
  <CharactersWithSpaces>1236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2026-08-28T02:52:00Z</dcterms:created>
  <dc:creator>zwh</dc:creator>
  <cp:lastModifiedBy>Administrator</cp:lastModifiedBy>
  <dcterms:modified xsi:type="dcterms:W3CDTF">2026-09-01T03:17:36Z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630BD074E4B94B0CB3E09373B8959A63_11</vt:lpwstr>
  </property>
  <property fmtid="{D5CDD505-2E9C-101B-9397-08002B2CF9AE}" pid="4" name="KSOTemplateDocerSaveRecord">
    <vt:lpwstr>eyJoZGlkIjoiNjhkYzkxMzFiZjY1YjYwMGQ4ZGM5ZmQ0NTUyM2RjMmMiLCJ1c2VySWQiOiIzMDQ1Njg5MDMifQ==</vt:lpwstr>
  </property>
</Properties>
</file>