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05C2E">
      <w:pPr>
        <w:jc w:val="center"/>
        <w:rPr>
          <w:rFonts w:hint="eastAsia" w:ascii="宋体" w:hAnsi="宋体" w:eastAsia="宋体"/>
          <w:b/>
          <w:bCs/>
          <w:sz w:val="36"/>
          <w:szCs w:val="36"/>
        </w:rPr>
      </w:pPr>
      <w:r>
        <w:rPr>
          <w:rFonts w:hint="eastAsia" w:ascii="Times" w:hAnsi="Times"/>
          <w:bCs/>
          <w:sz w:val="36"/>
          <w:szCs w:val="36"/>
          <w:u w:val="single"/>
        </w:rPr>
        <w:t xml:space="preserve">水环境生态修复 </w:t>
      </w:r>
      <w:r>
        <w:rPr>
          <w:rFonts w:hint="eastAsia" w:ascii="Times" w:hAnsi="Times"/>
          <w:bCs/>
          <w:sz w:val="36"/>
          <w:szCs w:val="36"/>
        </w:rPr>
        <w:t>微专业人才培养方案</w:t>
      </w:r>
    </w:p>
    <w:p w14:paraId="27EAEC1D">
      <w:pPr>
        <w:spacing w:after="0" w:line="360" w:lineRule="auto"/>
        <w:jc w:val="both"/>
        <w:rPr>
          <w:rFonts w:hint="eastAsia" w:ascii="仿宋" w:hAnsi="仿宋" w:eastAsia="仿宋" w:cs="仿宋"/>
          <w:color w:val="000000"/>
          <w:sz w:val="24"/>
          <w:szCs w:val="24"/>
          <w14:ligatures w14:val="none"/>
        </w:rPr>
      </w:pPr>
      <w:r>
        <w:rPr>
          <w:rFonts w:hint="eastAsia" w:ascii="仿宋" w:hAnsi="仿宋" w:eastAsia="仿宋" w:cs="仿宋"/>
          <w:color w:val="000000"/>
          <w:sz w:val="24"/>
          <w:szCs w:val="24"/>
          <w14:ligatures w14:val="none"/>
        </w:rPr>
        <w:t>一、专业简介</w:t>
      </w:r>
    </w:p>
    <w:p w14:paraId="4028BE28">
      <w:pPr>
        <w:spacing w:after="0" w:line="360" w:lineRule="auto"/>
        <w:ind w:firstLine="480" w:firstLineChars="200"/>
        <w:jc w:val="both"/>
        <w:rPr>
          <w:rFonts w:hint="eastAsia" w:ascii="仿宋" w:hAnsi="仿宋" w:eastAsia="仿宋" w:cs="仿宋"/>
          <w:color w:val="000000"/>
          <w:sz w:val="24"/>
          <w:szCs w:val="24"/>
          <w14:ligatures w14:val="none"/>
        </w:rPr>
      </w:pPr>
      <w:r>
        <w:rPr>
          <w:rFonts w:hint="eastAsia" w:ascii="仿宋" w:hAnsi="仿宋" w:eastAsia="仿宋" w:cs="仿宋"/>
          <w:color w:val="000000"/>
          <w:sz w:val="24"/>
          <w:szCs w:val="24"/>
          <w14:ligatures w14:val="none"/>
        </w:rPr>
        <w:t>本专业以学校环境科学专业为基础，面向国家生态文明建设、“长江经济带”“长江流域生态保护”和“双碳”等重大战略需求，紧密结合水环境治理与生态修复行业发展实际，构建覆盖水生生态、水生态监测、水生态评价、水污染控制与生态修复技术等内容的课程体系。专业注重将区域水环境治理案例、科研项目和行业实践转化为教学资源，强化“理论学习—监测评价—技术应用—实践训练”相结合的培养模式。毕业生将具备水生态环境调查、监测评价、问题诊断和生态修复技术应用等能力，能够适应生态环境保护、水资源管理、河湖治理、生态修复和环境技术服务等领域对复合型应用人才的需求，为服务长江流域生态保护和地方绿色发展提供人才支撑。</w:t>
      </w:r>
    </w:p>
    <w:p w14:paraId="58113A95">
      <w:pPr>
        <w:spacing w:after="0" w:line="360" w:lineRule="auto"/>
        <w:jc w:val="both"/>
        <w:rPr>
          <w:rFonts w:hint="eastAsia" w:ascii="仿宋" w:hAnsi="仿宋" w:eastAsia="仿宋" w:cs="仿宋"/>
          <w:color w:val="000000"/>
          <w:sz w:val="24"/>
          <w:szCs w:val="24"/>
          <w14:ligatures w14:val="none"/>
        </w:rPr>
      </w:pPr>
      <w:r>
        <w:rPr>
          <w:rFonts w:hint="eastAsia" w:ascii="仿宋" w:hAnsi="仿宋" w:eastAsia="仿宋" w:cs="仿宋"/>
          <w:color w:val="000000"/>
          <w:sz w:val="24"/>
          <w:szCs w:val="24"/>
          <w14:ligatures w14:val="none"/>
        </w:rPr>
        <w:t>二、培养目标</w:t>
      </w:r>
    </w:p>
    <w:p w14:paraId="45451345">
      <w:pPr>
        <w:spacing w:after="0" w:line="360" w:lineRule="auto"/>
        <w:ind w:firstLine="480" w:firstLineChars="200"/>
        <w:jc w:val="both"/>
        <w:rPr>
          <w:rFonts w:hint="eastAsia" w:ascii="仿宋" w:hAnsi="仿宋" w:eastAsia="仿宋" w:cs="仿宋"/>
          <w:color w:val="000000"/>
          <w:sz w:val="24"/>
          <w:szCs w:val="24"/>
          <w14:ligatures w14:val="none"/>
        </w:rPr>
      </w:pPr>
      <w:r>
        <w:rPr>
          <w:rFonts w:hint="eastAsia" w:ascii="仿宋" w:hAnsi="仿宋" w:eastAsia="仿宋" w:cs="仿宋"/>
          <w:color w:val="000000"/>
          <w:sz w:val="24"/>
          <w:szCs w:val="24"/>
          <w14:ligatures w14:val="none"/>
        </w:rPr>
        <w:t>本专业面向国家生态文明建设和绿色发展需求，服务长江经济带生态环境保护、区域河湖治理及水生态修复等领域发展需要，旨在培养掌握水生生态学、水环境监测、水生态评价及生态修复等方面基本理论和专业知识，具备水生态环境调查、监测分析、综合评价、问题诊断及生态修复技术应用等基本技能，具有生态文明意识、团队协作精神、实践创新能力和良好职业道德素养的复合型应用人才。</w:t>
      </w:r>
    </w:p>
    <w:p w14:paraId="28014BF5">
      <w:pPr>
        <w:spacing w:after="0" w:line="360" w:lineRule="auto"/>
        <w:ind w:firstLine="480" w:firstLineChars="200"/>
        <w:jc w:val="both"/>
        <w:rPr>
          <w:rFonts w:hint="eastAsia" w:ascii="仿宋" w:hAnsi="仿宋" w:eastAsia="仿宋" w:cs="仿宋"/>
          <w:color w:val="000000"/>
          <w:sz w:val="24"/>
          <w:szCs w:val="24"/>
          <w14:ligatures w14:val="none"/>
        </w:rPr>
      </w:pPr>
      <w:r>
        <w:rPr>
          <w:rFonts w:hint="eastAsia" w:ascii="仿宋" w:hAnsi="仿宋" w:eastAsia="仿宋" w:cs="仿宋"/>
          <w:color w:val="000000"/>
          <w:sz w:val="24"/>
          <w:szCs w:val="24"/>
          <w14:ligatures w14:val="none"/>
        </w:rPr>
        <w:t>通过专业学习，使学生能够结合河流、湖泊、湿地及城市水体等典型水生态系统实际问题，开展基本的水生态监测、环境质量评价和生态修复方案分析，为今后从事生态环境保护、水环境治理、河湖生态修复、环境咨询及相关技术服务工作奠定基础。</w:t>
      </w:r>
    </w:p>
    <w:p w14:paraId="54CBCA13">
      <w:pPr>
        <w:spacing w:after="0" w:line="360" w:lineRule="auto"/>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三、修业年限、学时、学分</w:t>
      </w:r>
    </w:p>
    <w:p w14:paraId="29140D1A">
      <w:pPr>
        <w:autoSpaceDE w:val="0"/>
        <w:autoSpaceDN w:val="0"/>
        <w:adjustRightInd w:val="0"/>
        <w:spacing w:after="0" w:line="360" w:lineRule="auto"/>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学制为1年，最长修业年限为2年。</w:t>
      </w:r>
    </w:p>
    <w:p w14:paraId="01475BE4">
      <w:pPr>
        <w:spacing w:after="0" w:line="360" w:lineRule="auto"/>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四、涉及学科专业</w:t>
      </w:r>
    </w:p>
    <w:p w14:paraId="299CEB35">
      <w:pPr>
        <w:spacing w:after="0" w:line="360" w:lineRule="auto"/>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 xml:space="preserve">    环境科学、环境工程、生态学、地理学、水文学与水资源、资源与环境等。</w:t>
      </w:r>
    </w:p>
    <w:p w14:paraId="03F81EA2">
      <w:pPr>
        <w:spacing w:after="0" w:line="360" w:lineRule="auto"/>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五、招生对象及报名条件</w:t>
      </w:r>
    </w:p>
    <w:p w14:paraId="60BBEBAD">
      <w:pPr>
        <w:spacing w:after="0" w:line="360" w:lineRule="auto"/>
        <w:ind w:firstLine="48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大二及以上学生。</w:t>
      </w:r>
    </w:p>
    <w:p w14:paraId="244D4499">
      <w:pPr>
        <w:numPr>
          <w:ilvl w:val="0"/>
          <w:numId w:val="1"/>
        </w:numPr>
        <w:spacing w:after="0" w:line="360" w:lineRule="auto"/>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毕业要求</w:t>
      </w:r>
    </w:p>
    <w:p w14:paraId="6AABF20F">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1.热爱社会主义祖国，拥护中国共产党领导，具有良好的思想政治素质、生态文明意识、社会责任感和职业道德；具有敬业爱岗、遵纪守法、团结协作和服务社会的基本素养。</w:t>
      </w:r>
    </w:p>
    <w:p w14:paraId="617224A1">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2.掌握环境科学、生态学及水环境保护领域的基本理论和基本知识，了解水生态系统的基本组成、结构、功能及其变化规律，能够运用自然科学和环境科学基本原理分析水生态环境问题。</w:t>
      </w:r>
    </w:p>
    <w:p w14:paraId="72F42600">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3.掌握水环境和水生态监测的基本理论、技术方法和质量控制要求，熟悉水质理化指标及典型水生生物指标的调查监测方法，具备开展水生态环境现场调查、数据采集和基本分析的能力。</w:t>
      </w:r>
    </w:p>
    <w:p w14:paraId="1B62D553">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4.掌握水生态评价的基本原理和方法，能够结合水环境监测数据开展水质评价、水生态健康评价及基本生态问题诊断，具备分析区域水生态环境质量状况的能力。</w:t>
      </w:r>
    </w:p>
    <w:p w14:paraId="399E866D">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5.掌握河流、湖泊、湿地及城市水体生态修复的基本原理和常用技术，了解污染源控制、水生植物修复、微生物修复、人工湿地、生态浮岛、生态护岸等典型生态修复技术，能够针对实际水生态环境问题进行技术分析和初步方案设计。</w:t>
      </w:r>
    </w:p>
    <w:p w14:paraId="1197E30F">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6.具备一定的实验操作、野外调查、资料分析、报告编制和项目实践能力，能够围绕实际水生态环境问题开展团队协作和综合实践。</w:t>
      </w:r>
    </w:p>
    <w:p w14:paraId="0AEE79AA">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7.了解生态环境保护、水资源管理及河湖生态修复相关政策法规、技术规范和行业发展趋势，能够与相关专业人员及社会公众就水生态环境问题进行有效沟通与交流。</w:t>
      </w:r>
    </w:p>
    <w:p w14:paraId="138B7C3E">
      <w:pPr>
        <w:spacing w:after="0" w:line="360" w:lineRule="auto"/>
        <w:ind w:firstLine="42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8.具有较好的创新意识、实践能力和自主学习能力，能够结合所学专业知识参与水环境监测、生态评价、生态修复及相关技术服务工作。。</w:t>
      </w:r>
    </w:p>
    <w:p w14:paraId="692A1490">
      <w:pPr>
        <w:spacing w:after="0" w:line="360" w:lineRule="auto"/>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七、知识基础</w:t>
      </w:r>
    </w:p>
    <w:p w14:paraId="7FC3653B">
      <w:pPr>
        <w:spacing w:after="0" w:line="360" w:lineRule="auto"/>
        <w:ind w:firstLine="48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1.具有一定的自然科学基础。</w:t>
      </w:r>
    </w:p>
    <w:p w14:paraId="060F7648">
      <w:pPr>
        <w:spacing w:after="0" w:line="360" w:lineRule="auto"/>
        <w:ind w:firstLine="48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2.具有基本的环境科学、生态学或相关专业知识基础。</w:t>
      </w:r>
    </w:p>
    <w:p w14:paraId="0E63C171">
      <w:pPr>
        <w:spacing w:after="0" w:line="360" w:lineRule="auto"/>
        <w:ind w:firstLine="480"/>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3.具备一定的计算机应用、数据处理和自主学习能力。</w:t>
      </w:r>
    </w:p>
    <w:p w14:paraId="4AD79A31">
      <w:pPr>
        <w:spacing w:after="0" w:line="360" w:lineRule="auto"/>
        <w:jc w:val="both"/>
        <w:rPr>
          <w:rFonts w:hint="eastAsia" w:ascii="仿宋" w:hAnsi="仿宋" w:eastAsia="仿宋" w:cs="仿宋"/>
          <w:sz w:val="24"/>
          <w:szCs w:val="24"/>
          <w14:ligatures w14:val="none"/>
        </w:rPr>
      </w:pPr>
      <w:r>
        <w:rPr>
          <w:rFonts w:hint="eastAsia" w:ascii="仿宋" w:hAnsi="仿宋" w:eastAsia="仿宋" w:cs="仿宋"/>
          <w:sz w:val="24"/>
          <w:szCs w:val="24"/>
          <w14:ligatures w14:val="none"/>
        </w:rPr>
        <w:t>八、课程设置及教学安排</w:t>
      </w:r>
    </w:p>
    <w:p w14:paraId="0D44ADC0">
      <w:pPr>
        <w:jc w:val="center"/>
        <w:rPr>
          <w:rFonts w:ascii="Times New Roman" w:hAnsi="Times New Roman" w:eastAsia="宋体" w:cs="Times New Roman"/>
          <w:sz w:val="24"/>
        </w:rPr>
      </w:pPr>
    </w:p>
    <w:p w14:paraId="1BF1118B">
      <w:pPr>
        <w:spacing w:after="0" w:line="360" w:lineRule="auto"/>
        <w:ind w:firstLine="480"/>
        <w:jc w:val="center"/>
        <w:rPr>
          <w:rFonts w:hint="eastAsia" w:ascii="仿宋" w:hAnsi="仿宋" w:eastAsia="仿宋" w:cs="仿宋"/>
          <w:sz w:val="24"/>
          <w:szCs w:val="24"/>
          <w14:ligatures w14:val="none"/>
        </w:rPr>
      </w:pPr>
      <w:r>
        <w:rPr>
          <w:rFonts w:hint="eastAsia" w:ascii="仿宋" w:hAnsi="仿宋" w:eastAsia="仿宋" w:cs="仿宋"/>
          <w:sz w:val="24"/>
          <w:szCs w:val="24"/>
          <w14:ligatures w14:val="none"/>
        </w:rPr>
        <w:t>水环境生态修复微专业教学计划表</w:t>
      </w:r>
    </w:p>
    <w:tbl>
      <w:tblPr>
        <w:tblStyle w:val="15"/>
        <w:tblW w:w="8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8"/>
        <w:gridCol w:w="709"/>
        <w:gridCol w:w="709"/>
        <w:gridCol w:w="645"/>
        <w:gridCol w:w="630"/>
        <w:gridCol w:w="668"/>
        <w:gridCol w:w="569"/>
        <w:gridCol w:w="709"/>
        <w:gridCol w:w="796"/>
      </w:tblGrid>
      <w:tr w14:paraId="2FFA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blHeader/>
          <w:jc w:val="center"/>
        </w:trPr>
        <w:tc>
          <w:tcPr>
            <w:tcW w:w="3078" w:type="dxa"/>
            <w:vMerge w:val="restart"/>
            <w:vAlign w:val="center"/>
          </w:tcPr>
          <w:p w14:paraId="0A3ABFD7">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课程名称</w:t>
            </w:r>
          </w:p>
        </w:tc>
        <w:tc>
          <w:tcPr>
            <w:tcW w:w="709" w:type="dxa"/>
            <w:vMerge w:val="restart"/>
            <w:vAlign w:val="center"/>
          </w:tcPr>
          <w:p w14:paraId="0ADE5361">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学分</w:t>
            </w:r>
          </w:p>
        </w:tc>
        <w:tc>
          <w:tcPr>
            <w:tcW w:w="709" w:type="dxa"/>
            <w:vMerge w:val="restart"/>
            <w:vAlign w:val="center"/>
          </w:tcPr>
          <w:p w14:paraId="0E317387">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总学时数</w:t>
            </w:r>
          </w:p>
        </w:tc>
        <w:tc>
          <w:tcPr>
            <w:tcW w:w="1943" w:type="dxa"/>
            <w:gridSpan w:val="3"/>
            <w:vAlign w:val="center"/>
          </w:tcPr>
          <w:p w14:paraId="1A29B9DE">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学时分配</w:t>
            </w:r>
          </w:p>
        </w:tc>
        <w:tc>
          <w:tcPr>
            <w:tcW w:w="569" w:type="dxa"/>
            <w:vMerge w:val="restart"/>
            <w:vAlign w:val="center"/>
          </w:tcPr>
          <w:p w14:paraId="4DCC397D">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考试课程</w:t>
            </w:r>
          </w:p>
        </w:tc>
        <w:tc>
          <w:tcPr>
            <w:tcW w:w="709" w:type="dxa"/>
            <w:vMerge w:val="restart"/>
            <w:vAlign w:val="center"/>
          </w:tcPr>
          <w:p w14:paraId="2EC640F6">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建议修读学期</w:t>
            </w:r>
          </w:p>
        </w:tc>
        <w:tc>
          <w:tcPr>
            <w:tcW w:w="796" w:type="dxa"/>
            <w:vMerge w:val="restart"/>
            <w:vAlign w:val="center"/>
          </w:tcPr>
          <w:p w14:paraId="06B6DAF6">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备注</w:t>
            </w:r>
          </w:p>
        </w:tc>
      </w:tr>
      <w:tr w14:paraId="5D78D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3078" w:type="dxa"/>
            <w:vMerge w:val="continue"/>
            <w:vAlign w:val="center"/>
          </w:tcPr>
          <w:p w14:paraId="43D7D5B5">
            <w:pPr>
              <w:widowControl/>
              <w:snapToGrid w:val="0"/>
              <w:jc w:val="center"/>
              <w:rPr>
                <w:rFonts w:hint="eastAsia" w:ascii="仿宋" w:hAnsi="仿宋" w:eastAsia="仿宋" w:cs="仿宋"/>
                <w:sz w:val="24"/>
                <w:szCs w:val="24"/>
              </w:rPr>
            </w:pPr>
          </w:p>
        </w:tc>
        <w:tc>
          <w:tcPr>
            <w:tcW w:w="709" w:type="dxa"/>
            <w:vMerge w:val="continue"/>
            <w:vAlign w:val="center"/>
          </w:tcPr>
          <w:p w14:paraId="4A2E5B31">
            <w:pPr>
              <w:widowControl/>
              <w:snapToGrid w:val="0"/>
              <w:jc w:val="center"/>
              <w:rPr>
                <w:rFonts w:hint="eastAsia" w:ascii="仿宋" w:hAnsi="仿宋" w:eastAsia="仿宋" w:cs="仿宋"/>
                <w:sz w:val="24"/>
                <w:szCs w:val="24"/>
              </w:rPr>
            </w:pPr>
          </w:p>
        </w:tc>
        <w:tc>
          <w:tcPr>
            <w:tcW w:w="709" w:type="dxa"/>
            <w:vMerge w:val="continue"/>
            <w:vAlign w:val="center"/>
          </w:tcPr>
          <w:p w14:paraId="6F6D49DA">
            <w:pPr>
              <w:widowControl/>
              <w:snapToGrid w:val="0"/>
              <w:jc w:val="center"/>
              <w:rPr>
                <w:rFonts w:hint="eastAsia" w:ascii="仿宋" w:hAnsi="仿宋" w:eastAsia="仿宋" w:cs="仿宋"/>
                <w:sz w:val="24"/>
                <w:szCs w:val="24"/>
              </w:rPr>
            </w:pPr>
          </w:p>
        </w:tc>
        <w:tc>
          <w:tcPr>
            <w:tcW w:w="645" w:type="dxa"/>
            <w:vAlign w:val="center"/>
          </w:tcPr>
          <w:p w14:paraId="4EB73558">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讲</w:t>
            </w:r>
          </w:p>
          <w:p w14:paraId="65864244">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授</w:t>
            </w:r>
          </w:p>
        </w:tc>
        <w:tc>
          <w:tcPr>
            <w:tcW w:w="630" w:type="dxa"/>
            <w:vAlign w:val="center"/>
          </w:tcPr>
          <w:p w14:paraId="6AA9079D">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实</w:t>
            </w:r>
          </w:p>
          <w:p w14:paraId="7195F4DD">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验</w:t>
            </w:r>
          </w:p>
        </w:tc>
        <w:tc>
          <w:tcPr>
            <w:tcW w:w="668" w:type="dxa"/>
            <w:vAlign w:val="center"/>
          </w:tcPr>
          <w:p w14:paraId="20DFB288">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实</w:t>
            </w:r>
          </w:p>
          <w:p w14:paraId="40D0C2C7">
            <w:pPr>
              <w:widowControl/>
              <w:snapToGrid w:val="0"/>
              <w:jc w:val="center"/>
              <w:rPr>
                <w:rFonts w:hint="eastAsia" w:ascii="仿宋" w:hAnsi="仿宋" w:eastAsia="仿宋" w:cs="仿宋"/>
                <w:b/>
                <w:bCs/>
                <w:sz w:val="24"/>
                <w:szCs w:val="24"/>
              </w:rPr>
            </w:pPr>
            <w:r>
              <w:rPr>
                <w:rFonts w:hint="eastAsia" w:ascii="仿宋" w:hAnsi="仿宋" w:eastAsia="仿宋" w:cs="仿宋"/>
                <w:b/>
                <w:bCs/>
                <w:sz w:val="24"/>
                <w:szCs w:val="24"/>
              </w:rPr>
              <w:t>践</w:t>
            </w:r>
          </w:p>
        </w:tc>
        <w:tc>
          <w:tcPr>
            <w:tcW w:w="569" w:type="dxa"/>
            <w:vMerge w:val="continue"/>
            <w:vAlign w:val="center"/>
          </w:tcPr>
          <w:p w14:paraId="23CD2F0D">
            <w:pPr>
              <w:widowControl/>
              <w:snapToGrid w:val="0"/>
              <w:jc w:val="center"/>
              <w:rPr>
                <w:rFonts w:hint="eastAsia" w:ascii="仿宋" w:hAnsi="仿宋" w:eastAsia="仿宋" w:cs="仿宋"/>
                <w:sz w:val="24"/>
                <w:szCs w:val="24"/>
              </w:rPr>
            </w:pPr>
          </w:p>
        </w:tc>
        <w:tc>
          <w:tcPr>
            <w:tcW w:w="709" w:type="dxa"/>
            <w:vMerge w:val="continue"/>
            <w:vAlign w:val="center"/>
          </w:tcPr>
          <w:p w14:paraId="1192C8A3">
            <w:pPr>
              <w:widowControl/>
              <w:snapToGrid w:val="0"/>
              <w:jc w:val="center"/>
              <w:rPr>
                <w:rFonts w:hint="eastAsia" w:ascii="仿宋" w:hAnsi="仿宋" w:eastAsia="仿宋" w:cs="仿宋"/>
                <w:sz w:val="24"/>
                <w:szCs w:val="24"/>
              </w:rPr>
            </w:pPr>
          </w:p>
        </w:tc>
        <w:tc>
          <w:tcPr>
            <w:tcW w:w="796" w:type="dxa"/>
            <w:vMerge w:val="continue"/>
            <w:vAlign w:val="center"/>
          </w:tcPr>
          <w:p w14:paraId="4727D08F">
            <w:pPr>
              <w:widowControl/>
              <w:snapToGrid w:val="0"/>
              <w:jc w:val="center"/>
              <w:rPr>
                <w:rFonts w:hint="eastAsia" w:ascii="仿宋" w:hAnsi="仿宋" w:eastAsia="仿宋" w:cs="仿宋"/>
                <w:sz w:val="24"/>
                <w:szCs w:val="24"/>
              </w:rPr>
            </w:pPr>
          </w:p>
        </w:tc>
      </w:tr>
      <w:tr w14:paraId="15C7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78" w:type="dxa"/>
            <w:vAlign w:val="center"/>
          </w:tcPr>
          <w:p w14:paraId="7F2C3B5D">
            <w:pPr>
              <w:widowControl/>
              <w:snapToGrid w:val="0"/>
              <w:jc w:val="center"/>
              <w:rPr>
                <w:rFonts w:hint="eastAsia" w:ascii="仿宋" w:hAnsi="仿宋" w:eastAsia="仿宋" w:cs="仿宋"/>
                <w:sz w:val="24"/>
                <w:szCs w:val="24"/>
              </w:rPr>
            </w:pPr>
            <w:r>
              <w:rPr>
                <w:rFonts w:hint="eastAsia" w:ascii="仿宋" w:hAnsi="仿宋" w:eastAsia="仿宋" w:cs="仿宋"/>
                <w:sz w:val="24"/>
                <w:szCs w:val="24"/>
              </w:rPr>
              <w:t>水生生态学</w:t>
            </w:r>
          </w:p>
        </w:tc>
        <w:tc>
          <w:tcPr>
            <w:tcW w:w="709" w:type="dxa"/>
            <w:vAlign w:val="center"/>
          </w:tcPr>
          <w:p w14:paraId="5EEE5459">
            <w:pPr>
              <w:widowControl/>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709" w:type="dxa"/>
            <w:vAlign w:val="center"/>
          </w:tcPr>
          <w:p w14:paraId="7826B405">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45" w:type="dxa"/>
            <w:vAlign w:val="center"/>
          </w:tcPr>
          <w:p w14:paraId="7FD50DE9">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30" w:type="dxa"/>
            <w:vAlign w:val="center"/>
          </w:tcPr>
          <w:p w14:paraId="2B83ABA4">
            <w:pPr>
              <w:widowControl/>
              <w:snapToGrid w:val="0"/>
              <w:jc w:val="center"/>
              <w:rPr>
                <w:rFonts w:hint="eastAsia" w:ascii="仿宋" w:hAnsi="仿宋" w:eastAsia="仿宋" w:cs="仿宋"/>
                <w:sz w:val="24"/>
                <w:szCs w:val="24"/>
              </w:rPr>
            </w:pPr>
          </w:p>
        </w:tc>
        <w:tc>
          <w:tcPr>
            <w:tcW w:w="668" w:type="dxa"/>
            <w:vAlign w:val="center"/>
          </w:tcPr>
          <w:p w14:paraId="755C8020">
            <w:pPr>
              <w:widowControl/>
              <w:snapToGrid w:val="0"/>
              <w:jc w:val="center"/>
              <w:rPr>
                <w:rFonts w:hint="eastAsia" w:ascii="仿宋" w:hAnsi="仿宋" w:eastAsia="仿宋" w:cs="仿宋"/>
                <w:sz w:val="24"/>
                <w:szCs w:val="24"/>
              </w:rPr>
            </w:pPr>
          </w:p>
        </w:tc>
        <w:tc>
          <w:tcPr>
            <w:tcW w:w="569" w:type="dxa"/>
            <w:vAlign w:val="center"/>
          </w:tcPr>
          <w:p w14:paraId="78AC4BC0">
            <w:pPr>
              <w:widowControl/>
              <w:snapToGrid w:val="0"/>
              <w:jc w:val="center"/>
              <w:rPr>
                <w:rFonts w:hint="eastAsia" w:ascii="仿宋" w:hAnsi="仿宋" w:eastAsia="仿宋" w:cs="仿宋"/>
                <w:sz w:val="24"/>
                <w:szCs w:val="24"/>
              </w:rPr>
            </w:pPr>
          </w:p>
        </w:tc>
        <w:tc>
          <w:tcPr>
            <w:tcW w:w="709" w:type="dxa"/>
            <w:vAlign w:val="center"/>
          </w:tcPr>
          <w:p w14:paraId="04E2F5F8">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796" w:type="dxa"/>
            <w:vAlign w:val="center"/>
          </w:tcPr>
          <w:p w14:paraId="1202F041">
            <w:pPr>
              <w:widowControl/>
              <w:adjustRightInd w:val="0"/>
              <w:snapToGrid w:val="0"/>
              <w:jc w:val="center"/>
              <w:rPr>
                <w:rFonts w:hint="eastAsia" w:ascii="仿宋" w:hAnsi="仿宋" w:eastAsia="仿宋" w:cs="仿宋"/>
                <w:sz w:val="24"/>
                <w:szCs w:val="24"/>
              </w:rPr>
            </w:pPr>
          </w:p>
        </w:tc>
      </w:tr>
      <w:tr w14:paraId="2C46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78" w:type="dxa"/>
            <w:vAlign w:val="center"/>
          </w:tcPr>
          <w:p w14:paraId="2A3EB5B4">
            <w:pPr>
              <w:widowControl/>
              <w:snapToGrid w:val="0"/>
              <w:jc w:val="center"/>
              <w:rPr>
                <w:rFonts w:hint="eastAsia" w:ascii="仿宋" w:hAnsi="仿宋" w:eastAsia="仿宋" w:cs="仿宋"/>
                <w:sz w:val="24"/>
                <w:szCs w:val="24"/>
              </w:rPr>
            </w:pPr>
            <w:r>
              <w:rPr>
                <w:rFonts w:hint="eastAsia" w:ascii="仿宋" w:hAnsi="仿宋" w:eastAsia="仿宋" w:cs="仿宋"/>
                <w:sz w:val="24"/>
                <w:szCs w:val="24"/>
              </w:rPr>
              <w:t>水生态监测</w:t>
            </w:r>
          </w:p>
        </w:tc>
        <w:tc>
          <w:tcPr>
            <w:tcW w:w="709" w:type="dxa"/>
            <w:vAlign w:val="center"/>
          </w:tcPr>
          <w:p w14:paraId="42CD944E">
            <w:pPr>
              <w:widowControl/>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709" w:type="dxa"/>
            <w:vAlign w:val="center"/>
          </w:tcPr>
          <w:p w14:paraId="63BF4CF9">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45" w:type="dxa"/>
            <w:vAlign w:val="center"/>
          </w:tcPr>
          <w:p w14:paraId="3CF8E817">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30" w:type="dxa"/>
            <w:vAlign w:val="center"/>
          </w:tcPr>
          <w:p w14:paraId="33EC88F5">
            <w:pPr>
              <w:widowControl/>
              <w:snapToGrid w:val="0"/>
              <w:jc w:val="center"/>
              <w:rPr>
                <w:rFonts w:hint="eastAsia" w:ascii="仿宋" w:hAnsi="仿宋" w:eastAsia="仿宋" w:cs="仿宋"/>
                <w:sz w:val="24"/>
                <w:szCs w:val="24"/>
              </w:rPr>
            </w:pPr>
          </w:p>
        </w:tc>
        <w:tc>
          <w:tcPr>
            <w:tcW w:w="668" w:type="dxa"/>
            <w:vAlign w:val="center"/>
          </w:tcPr>
          <w:p w14:paraId="144EE73D">
            <w:pPr>
              <w:widowControl/>
              <w:snapToGrid w:val="0"/>
              <w:jc w:val="center"/>
              <w:rPr>
                <w:rFonts w:hint="eastAsia" w:ascii="仿宋" w:hAnsi="仿宋" w:eastAsia="仿宋" w:cs="仿宋"/>
                <w:sz w:val="24"/>
                <w:szCs w:val="24"/>
              </w:rPr>
            </w:pPr>
          </w:p>
        </w:tc>
        <w:tc>
          <w:tcPr>
            <w:tcW w:w="569" w:type="dxa"/>
            <w:vAlign w:val="center"/>
          </w:tcPr>
          <w:p w14:paraId="3209C689">
            <w:pPr>
              <w:widowControl/>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709" w:type="dxa"/>
            <w:vAlign w:val="center"/>
          </w:tcPr>
          <w:p w14:paraId="3C12322A">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796" w:type="dxa"/>
            <w:vAlign w:val="center"/>
          </w:tcPr>
          <w:p w14:paraId="211B382C">
            <w:pPr>
              <w:widowControl/>
              <w:adjustRightInd w:val="0"/>
              <w:snapToGrid w:val="0"/>
              <w:jc w:val="center"/>
              <w:rPr>
                <w:rFonts w:hint="eastAsia" w:ascii="仿宋" w:hAnsi="仿宋" w:eastAsia="仿宋" w:cs="仿宋"/>
                <w:sz w:val="24"/>
                <w:szCs w:val="24"/>
              </w:rPr>
            </w:pPr>
          </w:p>
        </w:tc>
      </w:tr>
      <w:tr w14:paraId="157D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78" w:type="dxa"/>
            <w:vAlign w:val="center"/>
          </w:tcPr>
          <w:p w14:paraId="2E2789F6">
            <w:pPr>
              <w:widowControl/>
              <w:snapToGrid w:val="0"/>
              <w:jc w:val="center"/>
              <w:rPr>
                <w:rFonts w:hint="eastAsia" w:ascii="仿宋" w:hAnsi="仿宋" w:eastAsia="仿宋" w:cs="仿宋"/>
                <w:sz w:val="24"/>
                <w:szCs w:val="24"/>
              </w:rPr>
            </w:pPr>
            <w:r>
              <w:rPr>
                <w:rFonts w:hint="eastAsia" w:ascii="仿宋" w:hAnsi="仿宋" w:eastAsia="仿宋" w:cs="仿宋"/>
                <w:sz w:val="24"/>
                <w:szCs w:val="24"/>
              </w:rPr>
              <w:t>水生态修复原理与技术</w:t>
            </w:r>
          </w:p>
        </w:tc>
        <w:tc>
          <w:tcPr>
            <w:tcW w:w="709" w:type="dxa"/>
            <w:vAlign w:val="center"/>
          </w:tcPr>
          <w:p w14:paraId="3DE4710B">
            <w:pPr>
              <w:widowControl/>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709" w:type="dxa"/>
            <w:vAlign w:val="center"/>
          </w:tcPr>
          <w:p w14:paraId="7FD18231">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45" w:type="dxa"/>
            <w:vAlign w:val="center"/>
          </w:tcPr>
          <w:p w14:paraId="237C91C8">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30" w:type="dxa"/>
            <w:vAlign w:val="center"/>
          </w:tcPr>
          <w:p w14:paraId="7CF1626B">
            <w:pPr>
              <w:widowControl/>
              <w:snapToGrid w:val="0"/>
              <w:jc w:val="center"/>
              <w:rPr>
                <w:rFonts w:hint="eastAsia" w:ascii="仿宋" w:hAnsi="仿宋" w:eastAsia="仿宋" w:cs="仿宋"/>
                <w:sz w:val="24"/>
                <w:szCs w:val="24"/>
              </w:rPr>
            </w:pPr>
          </w:p>
        </w:tc>
        <w:tc>
          <w:tcPr>
            <w:tcW w:w="668" w:type="dxa"/>
            <w:vAlign w:val="center"/>
          </w:tcPr>
          <w:p w14:paraId="5359AEFC">
            <w:pPr>
              <w:widowControl/>
              <w:snapToGrid w:val="0"/>
              <w:jc w:val="center"/>
              <w:rPr>
                <w:rFonts w:hint="eastAsia" w:ascii="仿宋" w:hAnsi="仿宋" w:eastAsia="仿宋" w:cs="仿宋"/>
                <w:sz w:val="24"/>
                <w:szCs w:val="24"/>
              </w:rPr>
            </w:pPr>
          </w:p>
        </w:tc>
        <w:tc>
          <w:tcPr>
            <w:tcW w:w="569" w:type="dxa"/>
            <w:vAlign w:val="center"/>
          </w:tcPr>
          <w:p w14:paraId="329AED2A">
            <w:pPr>
              <w:widowControl/>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709" w:type="dxa"/>
            <w:vAlign w:val="center"/>
          </w:tcPr>
          <w:p w14:paraId="7C892225">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796" w:type="dxa"/>
            <w:vAlign w:val="center"/>
          </w:tcPr>
          <w:p w14:paraId="33EFE6FE">
            <w:pPr>
              <w:widowControl/>
              <w:adjustRightInd w:val="0"/>
              <w:snapToGrid w:val="0"/>
              <w:jc w:val="center"/>
              <w:rPr>
                <w:rFonts w:hint="eastAsia" w:ascii="仿宋" w:hAnsi="仿宋" w:eastAsia="仿宋" w:cs="仿宋"/>
                <w:sz w:val="24"/>
                <w:szCs w:val="24"/>
              </w:rPr>
            </w:pPr>
          </w:p>
        </w:tc>
      </w:tr>
      <w:tr w14:paraId="63F5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78" w:type="dxa"/>
            <w:vAlign w:val="center"/>
          </w:tcPr>
          <w:p w14:paraId="09CBFE55">
            <w:pPr>
              <w:widowControl/>
              <w:snapToGrid w:val="0"/>
              <w:jc w:val="center"/>
              <w:rPr>
                <w:rFonts w:hint="eastAsia" w:ascii="仿宋" w:hAnsi="仿宋" w:eastAsia="仿宋" w:cs="仿宋"/>
                <w:sz w:val="24"/>
                <w:szCs w:val="24"/>
              </w:rPr>
            </w:pPr>
            <w:r>
              <w:rPr>
                <w:rFonts w:hint="eastAsia" w:ascii="仿宋" w:hAnsi="仿宋" w:eastAsia="仿宋" w:cs="仿宋"/>
                <w:sz w:val="24"/>
                <w:szCs w:val="24"/>
              </w:rPr>
              <w:t>水生态评价</w:t>
            </w:r>
          </w:p>
        </w:tc>
        <w:tc>
          <w:tcPr>
            <w:tcW w:w="709" w:type="dxa"/>
            <w:vAlign w:val="center"/>
          </w:tcPr>
          <w:p w14:paraId="71E8AD5C">
            <w:pPr>
              <w:widowControl/>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709" w:type="dxa"/>
            <w:vAlign w:val="center"/>
          </w:tcPr>
          <w:p w14:paraId="064FA241">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45" w:type="dxa"/>
            <w:vAlign w:val="center"/>
          </w:tcPr>
          <w:p w14:paraId="38104698">
            <w:pPr>
              <w:widowControl/>
              <w:snapToGrid w:val="0"/>
              <w:jc w:val="center"/>
              <w:rPr>
                <w:rFonts w:hint="eastAsia" w:ascii="仿宋" w:hAnsi="仿宋" w:eastAsia="仿宋" w:cs="仿宋"/>
                <w:sz w:val="24"/>
                <w:szCs w:val="24"/>
              </w:rPr>
            </w:pPr>
            <w:r>
              <w:rPr>
                <w:rFonts w:hint="eastAsia" w:ascii="仿宋" w:hAnsi="仿宋" w:eastAsia="仿宋" w:cs="仿宋"/>
                <w:sz w:val="24"/>
                <w:szCs w:val="24"/>
              </w:rPr>
              <w:t>36</w:t>
            </w:r>
          </w:p>
        </w:tc>
        <w:tc>
          <w:tcPr>
            <w:tcW w:w="630" w:type="dxa"/>
            <w:vAlign w:val="center"/>
          </w:tcPr>
          <w:p w14:paraId="63710AC9">
            <w:pPr>
              <w:widowControl/>
              <w:snapToGrid w:val="0"/>
              <w:jc w:val="center"/>
              <w:rPr>
                <w:rFonts w:hint="eastAsia" w:ascii="仿宋" w:hAnsi="仿宋" w:eastAsia="仿宋" w:cs="仿宋"/>
                <w:sz w:val="24"/>
                <w:szCs w:val="24"/>
              </w:rPr>
            </w:pPr>
          </w:p>
        </w:tc>
        <w:tc>
          <w:tcPr>
            <w:tcW w:w="668" w:type="dxa"/>
            <w:vAlign w:val="center"/>
          </w:tcPr>
          <w:p w14:paraId="02B7AB7F">
            <w:pPr>
              <w:widowControl/>
              <w:snapToGrid w:val="0"/>
              <w:jc w:val="center"/>
              <w:rPr>
                <w:rFonts w:hint="eastAsia" w:ascii="仿宋" w:hAnsi="仿宋" w:eastAsia="仿宋" w:cs="仿宋"/>
                <w:sz w:val="24"/>
                <w:szCs w:val="24"/>
              </w:rPr>
            </w:pPr>
          </w:p>
        </w:tc>
        <w:tc>
          <w:tcPr>
            <w:tcW w:w="569" w:type="dxa"/>
            <w:vAlign w:val="center"/>
          </w:tcPr>
          <w:p w14:paraId="5B3ADEE2">
            <w:pPr>
              <w:widowControl/>
              <w:snapToGrid w:val="0"/>
              <w:jc w:val="center"/>
              <w:rPr>
                <w:rFonts w:hint="eastAsia" w:ascii="仿宋" w:hAnsi="仿宋" w:eastAsia="仿宋" w:cs="仿宋"/>
                <w:sz w:val="24"/>
                <w:szCs w:val="24"/>
              </w:rPr>
            </w:pPr>
          </w:p>
        </w:tc>
        <w:tc>
          <w:tcPr>
            <w:tcW w:w="709" w:type="dxa"/>
            <w:vAlign w:val="center"/>
          </w:tcPr>
          <w:p w14:paraId="7C856356">
            <w:pPr>
              <w:widowControl/>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796" w:type="dxa"/>
            <w:vAlign w:val="center"/>
          </w:tcPr>
          <w:p w14:paraId="2440C5EB">
            <w:pPr>
              <w:widowControl/>
              <w:adjustRightInd w:val="0"/>
              <w:snapToGrid w:val="0"/>
              <w:jc w:val="center"/>
              <w:rPr>
                <w:rFonts w:hint="eastAsia" w:ascii="仿宋" w:hAnsi="仿宋" w:eastAsia="仿宋" w:cs="仿宋"/>
                <w:sz w:val="24"/>
                <w:szCs w:val="24"/>
              </w:rPr>
            </w:pPr>
          </w:p>
        </w:tc>
      </w:tr>
      <w:tr w14:paraId="5B2A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78" w:type="dxa"/>
            <w:vAlign w:val="center"/>
          </w:tcPr>
          <w:p w14:paraId="5BB9C436">
            <w:pPr>
              <w:widowControl/>
              <w:snapToGrid w:val="0"/>
              <w:jc w:val="center"/>
              <w:rPr>
                <w:rFonts w:hint="eastAsia" w:ascii="仿宋" w:hAnsi="仿宋" w:eastAsia="仿宋" w:cs="仿宋"/>
                <w:sz w:val="24"/>
                <w:szCs w:val="24"/>
              </w:rPr>
            </w:pPr>
            <w:r>
              <w:rPr>
                <w:rFonts w:hint="eastAsia" w:ascii="仿宋" w:hAnsi="仿宋" w:eastAsia="仿宋" w:cs="仿宋"/>
                <w:sz w:val="24"/>
                <w:szCs w:val="24"/>
              </w:rPr>
              <w:t>水生态修复见习</w:t>
            </w:r>
          </w:p>
        </w:tc>
        <w:tc>
          <w:tcPr>
            <w:tcW w:w="709" w:type="dxa"/>
            <w:vAlign w:val="center"/>
          </w:tcPr>
          <w:p w14:paraId="00A9222A">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709" w:type="dxa"/>
            <w:vAlign w:val="center"/>
          </w:tcPr>
          <w:p w14:paraId="739050DD">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1周</w:t>
            </w:r>
          </w:p>
        </w:tc>
        <w:tc>
          <w:tcPr>
            <w:tcW w:w="645" w:type="dxa"/>
            <w:vAlign w:val="center"/>
          </w:tcPr>
          <w:p w14:paraId="027B238E">
            <w:pPr>
              <w:widowControl/>
              <w:snapToGrid w:val="0"/>
              <w:jc w:val="center"/>
              <w:rPr>
                <w:rFonts w:hint="eastAsia" w:ascii="仿宋" w:hAnsi="仿宋" w:eastAsia="仿宋" w:cs="仿宋"/>
                <w:sz w:val="24"/>
                <w:szCs w:val="24"/>
              </w:rPr>
            </w:pPr>
          </w:p>
        </w:tc>
        <w:tc>
          <w:tcPr>
            <w:tcW w:w="630" w:type="dxa"/>
            <w:vAlign w:val="center"/>
          </w:tcPr>
          <w:p w14:paraId="490FA194">
            <w:pPr>
              <w:widowControl/>
              <w:snapToGrid w:val="0"/>
              <w:jc w:val="center"/>
              <w:rPr>
                <w:rFonts w:hint="eastAsia" w:ascii="仿宋" w:hAnsi="仿宋" w:eastAsia="仿宋" w:cs="仿宋"/>
                <w:sz w:val="24"/>
                <w:szCs w:val="24"/>
              </w:rPr>
            </w:pPr>
          </w:p>
        </w:tc>
        <w:tc>
          <w:tcPr>
            <w:tcW w:w="668" w:type="dxa"/>
            <w:vAlign w:val="center"/>
          </w:tcPr>
          <w:p w14:paraId="77B67DEF">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1周</w:t>
            </w:r>
          </w:p>
        </w:tc>
        <w:tc>
          <w:tcPr>
            <w:tcW w:w="569" w:type="dxa"/>
            <w:vAlign w:val="center"/>
          </w:tcPr>
          <w:p w14:paraId="2F0A427F">
            <w:pPr>
              <w:widowControl/>
              <w:snapToGrid w:val="0"/>
              <w:jc w:val="center"/>
              <w:rPr>
                <w:rFonts w:hint="eastAsia" w:ascii="仿宋" w:hAnsi="仿宋" w:eastAsia="仿宋" w:cs="仿宋"/>
                <w:sz w:val="24"/>
                <w:szCs w:val="24"/>
              </w:rPr>
            </w:pPr>
          </w:p>
        </w:tc>
        <w:tc>
          <w:tcPr>
            <w:tcW w:w="709" w:type="dxa"/>
            <w:vAlign w:val="center"/>
          </w:tcPr>
          <w:p w14:paraId="37A5C19A">
            <w:pPr>
              <w:widowControl/>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796" w:type="dxa"/>
            <w:vAlign w:val="center"/>
          </w:tcPr>
          <w:p w14:paraId="6D010503">
            <w:pPr>
              <w:widowControl/>
              <w:adjustRightInd w:val="0"/>
              <w:snapToGrid w:val="0"/>
              <w:jc w:val="center"/>
              <w:rPr>
                <w:rFonts w:hint="eastAsia" w:ascii="仿宋" w:hAnsi="仿宋" w:eastAsia="仿宋" w:cs="仿宋"/>
                <w:sz w:val="24"/>
                <w:szCs w:val="24"/>
              </w:rPr>
            </w:pPr>
          </w:p>
        </w:tc>
      </w:tr>
      <w:tr w14:paraId="0EBAD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78" w:type="dxa"/>
            <w:vAlign w:val="center"/>
          </w:tcPr>
          <w:p w14:paraId="7E65902E">
            <w:pPr>
              <w:widowControl/>
              <w:snapToGrid w:val="0"/>
              <w:jc w:val="center"/>
              <w:rPr>
                <w:rFonts w:hint="eastAsia" w:ascii="仿宋" w:hAnsi="仿宋" w:eastAsia="仿宋" w:cs="仿宋"/>
                <w:sz w:val="24"/>
                <w:szCs w:val="24"/>
              </w:rPr>
            </w:pPr>
            <w:r>
              <w:rPr>
                <w:rFonts w:hint="eastAsia" w:ascii="仿宋" w:hAnsi="仿宋" w:eastAsia="仿宋" w:cs="仿宋"/>
                <w:sz w:val="24"/>
                <w:szCs w:val="24"/>
              </w:rPr>
              <w:t>综合实习</w:t>
            </w:r>
          </w:p>
        </w:tc>
        <w:tc>
          <w:tcPr>
            <w:tcW w:w="709" w:type="dxa"/>
            <w:vAlign w:val="center"/>
          </w:tcPr>
          <w:p w14:paraId="195939C9">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709" w:type="dxa"/>
            <w:vAlign w:val="center"/>
          </w:tcPr>
          <w:p w14:paraId="0F0A9E47">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1周</w:t>
            </w:r>
          </w:p>
        </w:tc>
        <w:tc>
          <w:tcPr>
            <w:tcW w:w="645" w:type="dxa"/>
            <w:vAlign w:val="center"/>
          </w:tcPr>
          <w:p w14:paraId="2566BD7F">
            <w:pPr>
              <w:widowControl/>
              <w:snapToGrid w:val="0"/>
              <w:jc w:val="center"/>
              <w:rPr>
                <w:rFonts w:hint="eastAsia" w:ascii="仿宋" w:hAnsi="仿宋" w:eastAsia="仿宋" w:cs="仿宋"/>
                <w:sz w:val="24"/>
                <w:szCs w:val="24"/>
              </w:rPr>
            </w:pPr>
          </w:p>
        </w:tc>
        <w:tc>
          <w:tcPr>
            <w:tcW w:w="630" w:type="dxa"/>
            <w:vAlign w:val="center"/>
          </w:tcPr>
          <w:p w14:paraId="71807159">
            <w:pPr>
              <w:widowControl/>
              <w:snapToGrid w:val="0"/>
              <w:jc w:val="center"/>
              <w:rPr>
                <w:rFonts w:hint="eastAsia" w:ascii="仿宋" w:hAnsi="仿宋" w:eastAsia="仿宋" w:cs="仿宋"/>
                <w:sz w:val="24"/>
                <w:szCs w:val="24"/>
              </w:rPr>
            </w:pPr>
          </w:p>
        </w:tc>
        <w:tc>
          <w:tcPr>
            <w:tcW w:w="668" w:type="dxa"/>
            <w:vAlign w:val="center"/>
          </w:tcPr>
          <w:p w14:paraId="678956B8">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1周</w:t>
            </w:r>
          </w:p>
        </w:tc>
        <w:tc>
          <w:tcPr>
            <w:tcW w:w="569" w:type="dxa"/>
            <w:vAlign w:val="center"/>
          </w:tcPr>
          <w:p w14:paraId="1AD0C68F">
            <w:pPr>
              <w:widowControl/>
              <w:snapToGrid w:val="0"/>
              <w:jc w:val="center"/>
              <w:rPr>
                <w:rFonts w:hint="eastAsia" w:ascii="仿宋" w:hAnsi="仿宋" w:eastAsia="仿宋" w:cs="仿宋"/>
                <w:sz w:val="24"/>
                <w:szCs w:val="24"/>
              </w:rPr>
            </w:pPr>
          </w:p>
        </w:tc>
        <w:tc>
          <w:tcPr>
            <w:tcW w:w="709" w:type="dxa"/>
            <w:vAlign w:val="center"/>
          </w:tcPr>
          <w:p w14:paraId="565E1D23">
            <w:pPr>
              <w:widowControl/>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796" w:type="dxa"/>
            <w:vAlign w:val="center"/>
          </w:tcPr>
          <w:p w14:paraId="7390A29A">
            <w:pPr>
              <w:widowControl/>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校企共建项目化课程</w:t>
            </w:r>
          </w:p>
        </w:tc>
      </w:tr>
      <w:tr w14:paraId="6220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078" w:type="dxa"/>
            <w:vAlign w:val="center"/>
          </w:tcPr>
          <w:p w14:paraId="307505D6">
            <w:pPr>
              <w:widowControl/>
              <w:snapToGrid w:val="0"/>
              <w:jc w:val="center"/>
              <w:rPr>
                <w:rFonts w:hint="eastAsia" w:ascii="仿宋" w:hAnsi="仿宋" w:eastAsia="仿宋" w:cs="仿宋"/>
                <w:sz w:val="24"/>
                <w:szCs w:val="24"/>
              </w:rPr>
            </w:pPr>
            <w:r>
              <w:rPr>
                <w:rFonts w:hint="eastAsia" w:ascii="仿宋" w:hAnsi="仿宋" w:eastAsia="仿宋" w:cs="仿宋"/>
                <w:sz w:val="24"/>
                <w:szCs w:val="24"/>
              </w:rPr>
              <w:t>合计</w:t>
            </w:r>
          </w:p>
        </w:tc>
        <w:tc>
          <w:tcPr>
            <w:tcW w:w="709" w:type="dxa"/>
            <w:vAlign w:val="center"/>
          </w:tcPr>
          <w:p w14:paraId="146DB637">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10</w:t>
            </w:r>
          </w:p>
        </w:tc>
        <w:tc>
          <w:tcPr>
            <w:tcW w:w="709" w:type="dxa"/>
            <w:vAlign w:val="center"/>
          </w:tcPr>
          <w:p w14:paraId="4FF41CCB">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144+2周</w:t>
            </w:r>
          </w:p>
        </w:tc>
        <w:tc>
          <w:tcPr>
            <w:tcW w:w="645" w:type="dxa"/>
            <w:vAlign w:val="center"/>
          </w:tcPr>
          <w:p w14:paraId="63017627">
            <w:pPr>
              <w:widowControl/>
              <w:snapToGrid w:val="0"/>
              <w:jc w:val="center"/>
              <w:rPr>
                <w:rFonts w:hint="eastAsia" w:ascii="仿宋" w:hAnsi="仿宋" w:eastAsia="仿宋" w:cs="仿宋"/>
                <w:sz w:val="24"/>
                <w:szCs w:val="24"/>
              </w:rPr>
            </w:pPr>
            <w:r>
              <w:rPr>
                <w:rFonts w:hint="eastAsia" w:ascii="仿宋" w:hAnsi="仿宋" w:eastAsia="仿宋" w:cs="仿宋"/>
                <w:sz w:val="24"/>
                <w:szCs w:val="24"/>
              </w:rPr>
              <w:t>144</w:t>
            </w:r>
          </w:p>
        </w:tc>
        <w:tc>
          <w:tcPr>
            <w:tcW w:w="630" w:type="dxa"/>
            <w:vAlign w:val="center"/>
          </w:tcPr>
          <w:p w14:paraId="4A1EB146">
            <w:pPr>
              <w:widowControl/>
              <w:snapToGrid w:val="0"/>
              <w:jc w:val="center"/>
              <w:rPr>
                <w:rFonts w:hint="eastAsia" w:ascii="仿宋" w:hAnsi="仿宋" w:eastAsia="仿宋" w:cs="仿宋"/>
                <w:sz w:val="24"/>
                <w:szCs w:val="24"/>
              </w:rPr>
            </w:pPr>
          </w:p>
        </w:tc>
        <w:tc>
          <w:tcPr>
            <w:tcW w:w="668" w:type="dxa"/>
            <w:vAlign w:val="center"/>
          </w:tcPr>
          <w:p w14:paraId="1683B4FB">
            <w:pPr>
              <w:widowControl/>
              <w:snapToGrid w:val="0"/>
              <w:jc w:val="center"/>
              <w:rPr>
                <w:rFonts w:hint="eastAsia" w:ascii="仿宋" w:hAnsi="仿宋" w:eastAsia="仿宋" w:cs="仿宋"/>
                <w:sz w:val="24"/>
                <w:szCs w:val="24"/>
              </w:rPr>
            </w:pPr>
            <w:r>
              <w:rPr>
                <w:rFonts w:hint="eastAsia" w:ascii="仿宋" w:hAnsi="仿宋" w:eastAsia="仿宋" w:cs="仿宋"/>
                <w:sz w:val="24"/>
                <w:szCs w:val="24"/>
              </w:rPr>
              <w:t>2周</w:t>
            </w:r>
          </w:p>
        </w:tc>
        <w:tc>
          <w:tcPr>
            <w:tcW w:w="569" w:type="dxa"/>
            <w:vAlign w:val="center"/>
          </w:tcPr>
          <w:p w14:paraId="55C2BFE6">
            <w:pPr>
              <w:widowControl/>
              <w:snapToGrid w:val="0"/>
              <w:jc w:val="center"/>
              <w:rPr>
                <w:rFonts w:hint="eastAsia" w:ascii="仿宋" w:hAnsi="仿宋" w:eastAsia="仿宋" w:cs="仿宋"/>
                <w:sz w:val="24"/>
                <w:szCs w:val="24"/>
              </w:rPr>
            </w:pPr>
          </w:p>
        </w:tc>
        <w:tc>
          <w:tcPr>
            <w:tcW w:w="709" w:type="dxa"/>
            <w:vAlign w:val="center"/>
          </w:tcPr>
          <w:p w14:paraId="2B48B5AB">
            <w:pPr>
              <w:widowControl/>
              <w:snapToGrid w:val="0"/>
              <w:jc w:val="center"/>
              <w:rPr>
                <w:rFonts w:hint="eastAsia" w:ascii="仿宋" w:hAnsi="仿宋" w:eastAsia="仿宋" w:cs="仿宋"/>
                <w:sz w:val="24"/>
                <w:szCs w:val="24"/>
              </w:rPr>
            </w:pPr>
          </w:p>
        </w:tc>
        <w:tc>
          <w:tcPr>
            <w:tcW w:w="796" w:type="dxa"/>
            <w:vAlign w:val="center"/>
          </w:tcPr>
          <w:p w14:paraId="1F6E362B">
            <w:pPr>
              <w:widowControl/>
              <w:adjustRightInd w:val="0"/>
              <w:snapToGrid w:val="0"/>
              <w:jc w:val="center"/>
              <w:rPr>
                <w:rFonts w:hint="eastAsia" w:ascii="仿宋" w:hAnsi="仿宋" w:eastAsia="仿宋" w:cs="仿宋"/>
                <w:sz w:val="24"/>
                <w:szCs w:val="24"/>
              </w:rPr>
            </w:pPr>
          </w:p>
        </w:tc>
      </w:tr>
    </w:tbl>
    <w:p w14:paraId="21324001">
      <w:pPr>
        <w:widowControl/>
        <w:spacing w:before="100" w:beforeAutospacing="1" w:after="100" w:afterAutospacing="1" w:line="240" w:lineRule="auto"/>
        <w:rPr>
          <w:rFonts w:hint="eastAsia" w:ascii="宋体" w:hAnsi="宋体" w:eastAsia="宋体" w:cs="宋体"/>
          <w:kern w:val="0"/>
          <w:sz w:val="28"/>
          <w:szCs w:val="28"/>
          <w14:ligatures w14:val="none"/>
        </w:rPr>
      </w:pPr>
    </w:p>
    <w:p w14:paraId="460EE1BC">
      <w:pPr>
        <w:widowControl/>
        <w:spacing w:before="100" w:beforeAutospacing="1" w:after="100" w:afterAutospacing="1" w:line="240" w:lineRule="auto"/>
        <w:rPr>
          <w:rFonts w:hint="eastAsia" w:ascii="宋体" w:hAnsi="宋体" w:eastAsia="宋体" w:cs="宋体"/>
          <w:kern w:val="0"/>
          <w:sz w:val="28"/>
          <w:szCs w:val="28"/>
          <w14:ligatures w14: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Arial Unicode MS"/>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等线 Light">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4A1229"/>
    <w:multiLevelType w:val="singleLevel"/>
    <w:tmpl w:val="4E4A122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53D"/>
    <w:rsid w:val="000B4564"/>
    <w:rsid w:val="000C4AD0"/>
    <w:rsid w:val="000D281A"/>
    <w:rsid w:val="001A73B1"/>
    <w:rsid w:val="004D0693"/>
    <w:rsid w:val="004D2380"/>
    <w:rsid w:val="00542738"/>
    <w:rsid w:val="00700A18"/>
    <w:rsid w:val="007766A8"/>
    <w:rsid w:val="00A90A07"/>
    <w:rsid w:val="00AC015F"/>
    <w:rsid w:val="00C27451"/>
    <w:rsid w:val="00C63A11"/>
    <w:rsid w:val="00D035AC"/>
    <w:rsid w:val="00FB353D"/>
    <w:rsid w:val="3B200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1543</Words>
  <Characters>1569</Characters>
  <Lines>12</Lines>
  <Paragraphs>3</Paragraphs>
  <TotalTime>24</TotalTime>
  <ScaleCrop>false</ScaleCrop>
  <LinksUpToDate>false</LinksUpToDate>
  <CharactersWithSpaces>1574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2026-08-30T05:48:00Z</dcterms:created>
  <dc:creator>huanyong</dc:creator>
  <cp:lastModifiedBy>Administrator</cp:lastModifiedBy>
  <dcterms:modified xsi:type="dcterms:W3CDTF">2026-09-01T06:13:21Z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eyJoZGlkIjoiNjhkYzkxMzFiZjY1YjYwMGQ4ZGM5ZmQ0NTUyM2RjMmMiLCJ1c2VySWQiOiIzMDQ1Njg5MDMifQ==</vt:lpwstr>
  </property>
  <property fmtid="{D5CDD505-2E9C-101B-9397-08002B2CF9AE}" pid="3" name="KSOProductBuildVer">
    <vt:lpwstr>2052-12.1.0.28043</vt:lpwstr>
  </property>
  <property fmtid="{D5CDD505-2E9C-101B-9397-08002B2CF9AE}" pid="4" name="ICV">
    <vt:lpwstr>74136886BBAC4ABAB828454A811F80BE_12</vt:lpwstr>
  </property>
</Properties>
</file>