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A2D1B">
      <w:pPr>
        <w:spacing w:line="290" w:lineRule="auto"/>
        <w:rPr>
          <w:lang w:eastAsia="zh-CN"/>
        </w:rPr>
      </w:pPr>
    </w:p>
    <w:p w14:paraId="34F37E93">
      <w:pPr>
        <w:tabs>
          <w:tab w:val="left" w:pos="1968"/>
        </w:tabs>
        <w:spacing w:before="117" w:line="218" w:lineRule="auto"/>
        <w:ind w:left="1051"/>
        <w:rPr>
          <w:rFonts w:ascii="黑体" w:hAnsi="黑体" w:eastAsia="黑体" w:cs="黑体"/>
          <w:sz w:val="36"/>
          <w:szCs w:val="36"/>
          <w:lang w:eastAsia="zh-CN"/>
        </w:rPr>
      </w:pPr>
      <w:r>
        <w:rPr>
          <w:rFonts w:ascii="黑体" w:hAnsi="黑体" w:eastAsia="黑体" w:cs="黑体"/>
          <w:sz w:val="36"/>
          <w:szCs w:val="36"/>
          <w:u w:val="single"/>
          <w:lang w:eastAsia="zh-CN"/>
        </w:rPr>
        <w:tab/>
      </w:r>
      <w:r>
        <w:rPr>
          <w:rFonts w:ascii="黑体" w:hAnsi="黑体" w:eastAsia="黑体" w:cs="黑体"/>
          <w:spacing w:val="-2"/>
          <w:sz w:val="36"/>
          <w:szCs w:val="36"/>
          <w:u w:val="single"/>
          <w:lang w:eastAsia="zh-CN"/>
        </w:rPr>
        <w:t xml:space="preserve">全科医学    </w:t>
      </w:r>
      <w:r>
        <w:rPr>
          <w:rFonts w:ascii="黑体" w:hAnsi="黑体" w:eastAsia="黑体" w:cs="黑体"/>
          <w:spacing w:val="-162"/>
          <w:sz w:val="36"/>
          <w:szCs w:val="36"/>
          <w:lang w:eastAsia="zh-CN"/>
        </w:rPr>
        <w:t xml:space="preserve"> </w:t>
      </w:r>
      <w:r>
        <w:rPr>
          <w:rFonts w:ascii="黑体" w:hAnsi="黑体" w:eastAsia="黑体" w:cs="黑体"/>
          <w:spacing w:val="-2"/>
          <w:sz w:val="36"/>
          <w:szCs w:val="36"/>
          <w:lang w:eastAsia="zh-CN"/>
        </w:rPr>
        <w:t>微专业人才培养方案</w:t>
      </w:r>
    </w:p>
    <w:p w14:paraId="0E4456B9">
      <w:pPr>
        <w:spacing w:line="344" w:lineRule="auto"/>
        <w:rPr>
          <w:lang w:eastAsia="zh-CN"/>
        </w:rPr>
      </w:pPr>
    </w:p>
    <w:p w14:paraId="227E2EF8">
      <w:pPr>
        <w:spacing w:line="345" w:lineRule="auto"/>
        <w:rPr>
          <w:lang w:eastAsia="zh-CN"/>
        </w:rPr>
      </w:pPr>
    </w:p>
    <w:p w14:paraId="65FC62C1">
      <w:pPr>
        <w:pStyle w:val="2"/>
        <w:spacing w:before="78" w:line="217" w:lineRule="auto"/>
        <w:ind w:left="130"/>
        <w:rPr>
          <w:lang w:eastAsia="zh-CN"/>
        </w:rPr>
      </w:pPr>
      <w:r>
        <w:rPr>
          <w:spacing w:val="-7"/>
          <w:lang w:eastAsia="zh-CN"/>
        </w:rPr>
        <w:t>一、培养目标</w:t>
      </w:r>
    </w:p>
    <w:p w14:paraId="75B40AA9">
      <w:pPr>
        <w:pStyle w:val="2"/>
        <w:spacing w:before="30"/>
        <w:ind w:left="115" w:right="151" w:firstLine="478"/>
        <w:jc w:val="both"/>
        <w:rPr>
          <w:lang w:eastAsia="zh-CN"/>
        </w:rPr>
      </w:pPr>
      <w:r>
        <w:rPr>
          <w:lang w:eastAsia="zh-CN"/>
        </w:rPr>
        <w:t>本微专业立足“健康中国”战略与基层医疗卫生人才需求，培养掌握全科医学基本理论、社区常见病诊疗、慢性病管理与健康促进技能，同时培养良好</w:t>
      </w:r>
      <w:r>
        <w:rPr>
          <w:spacing w:val="-4"/>
          <w:lang w:eastAsia="zh-CN"/>
        </w:rPr>
        <w:t>医患沟通能力与人文素养的复合型人才。学生毕业后能胜任社区卫生</w:t>
      </w:r>
      <w:r>
        <w:rPr>
          <w:spacing w:val="-5"/>
          <w:lang w:eastAsia="zh-CN"/>
        </w:rPr>
        <w:t>服务中心、</w:t>
      </w:r>
      <w:r>
        <w:rPr>
          <w:lang w:eastAsia="zh-CN"/>
        </w:rPr>
        <w:t>家庭医生团队等岗位的基本工作，或为进一步攻读全科医学方向研究生奠定基</w:t>
      </w:r>
      <w:r>
        <w:rPr>
          <w:spacing w:val="-15"/>
          <w:lang w:eastAsia="zh-CN"/>
        </w:rPr>
        <w:t>础。</w:t>
      </w:r>
    </w:p>
    <w:p w14:paraId="50D81232">
      <w:pPr>
        <w:pStyle w:val="2"/>
        <w:spacing w:before="1" w:line="216" w:lineRule="auto"/>
        <w:ind w:left="128"/>
        <w:rPr>
          <w:lang w:eastAsia="zh-CN"/>
        </w:rPr>
      </w:pPr>
      <w:r>
        <w:rPr>
          <w:spacing w:val="-4"/>
          <w:lang w:eastAsia="zh-CN"/>
        </w:rPr>
        <w:t>二、毕业要求</w:t>
      </w:r>
    </w:p>
    <w:p w14:paraId="2DF6B295">
      <w:pPr>
        <w:pStyle w:val="2"/>
        <w:spacing w:before="30" w:line="216" w:lineRule="auto"/>
        <w:ind w:left="608"/>
        <w:rPr>
          <w:lang w:eastAsia="zh-CN"/>
        </w:rPr>
      </w:pPr>
      <w:r>
        <w:rPr>
          <w:spacing w:val="-4"/>
          <w:lang w:eastAsia="zh-CN"/>
        </w:rPr>
        <w:t>完成本微专业学习并通过考核的学生，应达到以下要求：</w:t>
      </w:r>
    </w:p>
    <w:p w14:paraId="25C0D5F2">
      <w:pPr>
        <w:pStyle w:val="2"/>
        <w:spacing w:before="30"/>
        <w:ind w:left="134" w:right="224" w:firstLine="475"/>
        <w:rPr>
          <w:lang w:eastAsia="zh-CN"/>
        </w:rPr>
      </w:pPr>
      <w:r>
        <w:rPr>
          <w:spacing w:val="-7"/>
          <w:lang w:eastAsia="zh-CN"/>
        </w:rPr>
        <w:t>1、知识要求：理解全科医学的核心概念、服务模式与政策法规； 掌握社区</w:t>
      </w:r>
      <w:r>
        <w:rPr>
          <w:spacing w:val="-2"/>
          <w:lang w:eastAsia="zh-CN"/>
        </w:rPr>
        <w:t>常见病、多发病的诊疗与转诊原则；熟悉慢性病流</w:t>
      </w:r>
      <w:r>
        <w:rPr>
          <w:spacing w:val="-3"/>
          <w:lang w:eastAsia="zh-CN"/>
        </w:rPr>
        <w:t>行病学及健康管理策略。</w:t>
      </w:r>
    </w:p>
    <w:p w14:paraId="69EB01E2">
      <w:pPr>
        <w:pStyle w:val="2"/>
        <w:spacing w:before="2"/>
        <w:ind w:left="107" w:right="227" w:firstLine="496"/>
        <w:rPr>
          <w:lang w:eastAsia="zh-CN"/>
        </w:rPr>
      </w:pPr>
      <w:r>
        <w:rPr>
          <w:spacing w:val="-3"/>
          <w:lang w:eastAsia="zh-CN"/>
        </w:rPr>
        <w:t>2、能力要求：具备独立开展社区常见病初步处理的</w:t>
      </w:r>
      <w:r>
        <w:rPr>
          <w:spacing w:val="-4"/>
          <w:lang w:eastAsia="zh-CN"/>
        </w:rPr>
        <w:t>能力；能设计并实施健</w:t>
      </w:r>
      <w:r>
        <w:rPr>
          <w:spacing w:val="1"/>
          <w:lang w:eastAsia="zh-CN"/>
        </w:rPr>
        <w:t>康教育方案；掌握以患者为中心的医患沟通技巧；</w:t>
      </w:r>
      <w:r>
        <w:rPr>
          <w:lang w:eastAsia="zh-CN"/>
        </w:rPr>
        <w:t>具备基本的信息分析与文献</w:t>
      </w:r>
      <w:r>
        <w:rPr>
          <w:spacing w:val="-9"/>
          <w:lang w:eastAsia="zh-CN"/>
        </w:rPr>
        <w:t>检索能力。</w:t>
      </w:r>
    </w:p>
    <w:p w14:paraId="429F2BF8">
      <w:pPr>
        <w:pStyle w:val="2"/>
        <w:ind w:left="128" w:right="151" w:firstLine="485"/>
        <w:rPr>
          <w:lang w:eastAsia="zh-CN"/>
        </w:rPr>
      </w:pPr>
      <w:r>
        <w:rPr>
          <w:spacing w:val="-10"/>
          <w:lang w:eastAsia="zh-CN"/>
        </w:rPr>
        <w:t>3、素养要求：树立以人为中心、以健康为导</w:t>
      </w:r>
      <w:r>
        <w:rPr>
          <w:spacing w:val="-11"/>
          <w:lang w:eastAsia="zh-CN"/>
        </w:rPr>
        <w:t>向的服务理念；</w:t>
      </w:r>
      <w:r>
        <w:rPr>
          <w:spacing w:val="-49"/>
          <w:lang w:eastAsia="zh-CN"/>
        </w:rPr>
        <w:t xml:space="preserve"> </w:t>
      </w:r>
      <w:r>
        <w:rPr>
          <w:spacing w:val="-11"/>
          <w:lang w:eastAsia="zh-CN"/>
        </w:rPr>
        <w:t>培养珍视生命、</w:t>
      </w:r>
      <w:r>
        <w:rPr>
          <w:spacing w:val="-3"/>
          <w:lang w:eastAsia="zh-CN"/>
        </w:rPr>
        <w:t>尊重患者的人文关怀精神；遵守医学伦理与基层医疗规范。</w:t>
      </w:r>
    </w:p>
    <w:p w14:paraId="3A97B26F">
      <w:pPr>
        <w:pStyle w:val="2"/>
        <w:spacing w:line="218" w:lineRule="auto"/>
        <w:ind w:left="132"/>
        <w:rPr>
          <w:lang w:eastAsia="zh-CN"/>
        </w:rPr>
      </w:pPr>
      <w:r>
        <w:rPr>
          <w:spacing w:val="-3"/>
          <w:lang w:eastAsia="zh-CN"/>
        </w:rPr>
        <w:t>三、修业年限、学时、学分</w:t>
      </w:r>
    </w:p>
    <w:p w14:paraId="4BA52558">
      <w:pPr>
        <w:pStyle w:val="2"/>
        <w:spacing w:before="28" w:line="216" w:lineRule="auto"/>
        <w:ind w:left="610"/>
        <w:rPr>
          <w:lang w:eastAsia="zh-CN"/>
        </w:rPr>
      </w:pPr>
      <w:r>
        <w:rPr>
          <w:spacing w:val="-2"/>
          <w:lang w:eastAsia="zh-CN"/>
        </w:rPr>
        <w:t>1、修业年限：1-2</w:t>
      </w:r>
      <w:r>
        <w:rPr>
          <w:spacing w:val="-33"/>
          <w:lang w:eastAsia="zh-CN"/>
        </w:rPr>
        <w:t xml:space="preserve"> </w:t>
      </w:r>
      <w:r>
        <w:rPr>
          <w:spacing w:val="-2"/>
          <w:lang w:eastAsia="zh-CN"/>
        </w:rPr>
        <w:t>年（灵活安排，双休日或晚间授课）</w:t>
      </w:r>
    </w:p>
    <w:p w14:paraId="2CD1F8AA">
      <w:pPr>
        <w:pStyle w:val="2"/>
        <w:spacing w:before="31" w:line="219" w:lineRule="auto"/>
        <w:ind w:left="604"/>
        <w:rPr>
          <w:lang w:eastAsia="zh-CN"/>
        </w:rPr>
      </w:pPr>
      <w:r>
        <w:rPr>
          <w:spacing w:val="-4"/>
          <w:lang w:eastAsia="zh-CN"/>
        </w:rPr>
        <w:t>2、总学分：10</w:t>
      </w:r>
      <w:r>
        <w:rPr>
          <w:spacing w:val="-28"/>
          <w:lang w:eastAsia="zh-CN"/>
        </w:rPr>
        <w:t xml:space="preserve"> </w:t>
      </w:r>
      <w:r>
        <w:rPr>
          <w:spacing w:val="-4"/>
          <w:lang w:eastAsia="zh-CN"/>
        </w:rPr>
        <w:t>学分</w:t>
      </w:r>
    </w:p>
    <w:p w14:paraId="614F0D69">
      <w:pPr>
        <w:pStyle w:val="2"/>
        <w:spacing w:before="28" w:line="217" w:lineRule="auto"/>
        <w:ind w:left="613"/>
        <w:rPr>
          <w:lang w:eastAsia="zh-CN"/>
        </w:rPr>
      </w:pPr>
      <w:r>
        <w:rPr>
          <w:spacing w:val="-5"/>
          <w:lang w:eastAsia="zh-CN"/>
        </w:rPr>
        <w:t>3、总学时：80</w:t>
      </w:r>
      <w:r>
        <w:rPr>
          <w:spacing w:val="-19"/>
          <w:lang w:eastAsia="zh-CN"/>
        </w:rPr>
        <w:t xml:space="preserve"> </w:t>
      </w:r>
      <w:r>
        <w:rPr>
          <w:spacing w:val="-5"/>
          <w:lang w:eastAsia="zh-CN"/>
        </w:rPr>
        <w:t>学时（理论授课约</w:t>
      </w:r>
      <w:r>
        <w:rPr>
          <w:spacing w:val="-40"/>
          <w:lang w:eastAsia="zh-CN"/>
        </w:rPr>
        <w:t xml:space="preserve"> </w:t>
      </w:r>
      <w:r>
        <w:rPr>
          <w:spacing w:val="-5"/>
          <w:lang w:eastAsia="zh-CN"/>
        </w:rPr>
        <w:t>60%，实践实训约 40%）</w:t>
      </w:r>
    </w:p>
    <w:p w14:paraId="7D5B7CFA">
      <w:pPr>
        <w:pStyle w:val="2"/>
        <w:spacing w:before="30" w:line="218" w:lineRule="auto"/>
        <w:ind w:left="143"/>
        <w:rPr>
          <w:lang w:eastAsia="zh-CN"/>
        </w:rPr>
      </w:pPr>
      <w:r>
        <w:rPr>
          <w:spacing w:val="-5"/>
          <w:lang w:eastAsia="zh-CN"/>
        </w:rPr>
        <w:t>四、涉及学科专业</w:t>
      </w:r>
    </w:p>
    <w:p w14:paraId="38DD2921">
      <w:pPr>
        <w:pStyle w:val="2"/>
        <w:spacing w:before="29"/>
        <w:ind w:left="114" w:right="232" w:firstLine="495"/>
        <w:rPr>
          <w:lang w:eastAsia="zh-CN"/>
        </w:rPr>
      </w:pPr>
      <w:r>
        <w:rPr>
          <w:lang w:eastAsia="zh-CN"/>
        </w:rPr>
        <w:t>临床医学、预防医学、公共卫生、人文医学、护理学、健康管理等相关学</w:t>
      </w:r>
      <w:r>
        <w:rPr>
          <w:spacing w:val="-11"/>
          <w:lang w:eastAsia="zh-CN"/>
        </w:rPr>
        <w:t>科专业。</w:t>
      </w:r>
    </w:p>
    <w:p w14:paraId="391566F7">
      <w:pPr>
        <w:pStyle w:val="2"/>
        <w:spacing w:line="218" w:lineRule="auto"/>
        <w:ind w:left="123"/>
        <w:rPr>
          <w:lang w:eastAsia="zh-CN"/>
        </w:rPr>
      </w:pPr>
      <w:r>
        <w:rPr>
          <w:spacing w:val="-2"/>
          <w:lang w:eastAsia="zh-CN"/>
        </w:rPr>
        <w:t>五、招生对象及报名条件</w:t>
      </w:r>
    </w:p>
    <w:p w14:paraId="199A8CF2">
      <w:pPr>
        <w:pStyle w:val="2"/>
        <w:spacing w:before="28" w:line="215" w:lineRule="auto"/>
        <w:ind w:left="610"/>
        <w:rPr>
          <w:lang w:eastAsia="zh-CN"/>
        </w:rPr>
      </w:pPr>
      <w:r>
        <w:rPr>
          <w:spacing w:val="-1"/>
          <w:lang w:eastAsia="zh-CN"/>
        </w:rPr>
        <w:t>1、招生对象：全校各专业本科在校生（含大二至大四学生）</w:t>
      </w:r>
    </w:p>
    <w:p w14:paraId="1D086227">
      <w:pPr>
        <w:pStyle w:val="2"/>
        <w:spacing w:before="33" w:line="218" w:lineRule="auto"/>
        <w:ind w:left="604"/>
        <w:rPr>
          <w:lang w:eastAsia="zh-CN"/>
        </w:rPr>
      </w:pPr>
      <w:r>
        <w:rPr>
          <w:spacing w:val="-10"/>
          <w:lang w:eastAsia="zh-CN"/>
        </w:rPr>
        <w:t>2、报名条件：</w:t>
      </w:r>
    </w:p>
    <w:p w14:paraId="182FEA0E">
      <w:pPr>
        <w:pStyle w:val="2"/>
        <w:spacing w:before="29" w:line="218" w:lineRule="auto"/>
        <w:ind w:left="585"/>
        <w:rPr>
          <w:lang w:eastAsia="zh-CN"/>
        </w:rPr>
      </w:pPr>
      <w:r>
        <w:rPr>
          <w:spacing w:val="-5"/>
          <w:lang w:eastAsia="zh-CN"/>
        </w:rPr>
        <w:t>（</w:t>
      </w:r>
      <w:r>
        <w:rPr>
          <w:spacing w:val="-64"/>
          <w:lang w:eastAsia="zh-CN"/>
        </w:rPr>
        <w:t xml:space="preserve"> </w:t>
      </w:r>
      <w:r>
        <w:rPr>
          <w:spacing w:val="-5"/>
          <w:lang w:eastAsia="zh-CN"/>
        </w:rPr>
        <w:t>1）对全科医学与基层医疗卫生服务有浓厚兴</w:t>
      </w:r>
      <w:r>
        <w:rPr>
          <w:spacing w:val="-6"/>
          <w:lang w:eastAsia="zh-CN"/>
        </w:rPr>
        <w:t>趣；</w:t>
      </w:r>
    </w:p>
    <w:p w14:paraId="0277EA17">
      <w:pPr>
        <w:pStyle w:val="2"/>
        <w:spacing w:before="29" w:line="217" w:lineRule="auto"/>
        <w:ind w:left="585"/>
        <w:rPr>
          <w:lang w:eastAsia="zh-CN"/>
        </w:rPr>
      </w:pPr>
      <w:r>
        <w:rPr>
          <w:spacing w:val="-4"/>
          <w:lang w:eastAsia="zh-CN"/>
        </w:rPr>
        <w:t>（</w:t>
      </w:r>
      <w:r>
        <w:rPr>
          <w:spacing w:val="-69"/>
          <w:lang w:eastAsia="zh-CN"/>
        </w:rPr>
        <w:t xml:space="preserve"> </w:t>
      </w:r>
      <w:r>
        <w:rPr>
          <w:spacing w:val="-4"/>
          <w:lang w:eastAsia="zh-CN"/>
        </w:rPr>
        <w:t>2）学有余力，主修专业课程成绩良好（原则上无不及格记录</w:t>
      </w:r>
      <w:r>
        <w:rPr>
          <w:lang w:eastAsia="zh-CN"/>
        </w:rPr>
        <w:t>）；</w:t>
      </w:r>
    </w:p>
    <w:p w14:paraId="4018480C">
      <w:pPr>
        <w:pStyle w:val="2"/>
        <w:spacing w:before="29" w:line="217" w:lineRule="auto"/>
        <w:ind w:left="585"/>
        <w:rPr>
          <w:lang w:eastAsia="zh-CN"/>
        </w:rPr>
      </w:pPr>
      <w:r>
        <w:rPr>
          <w:spacing w:val="-10"/>
          <w:lang w:eastAsia="zh-CN"/>
        </w:rPr>
        <w:t>（</w:t>
      </w:r>
      <w:r>
        <w:rPr>
          <w:spacing w:val="-54"/>
          <w:lang w:eastAsia="zh-CN"/>
        </w:rPr>
        <w:t xml:space="preserve"> </w:t>
      </w:r>
      <w:r>
        <w:rPr>
          <w:spacing w:val="-10"/>
          <w:lang w:eastAsia="zh-CN"/>
        </w:rPr>
        <w:t>3</w:t>
      </w:r>
      <w:r>
        <w:rPr>
          <w:spacing w:val="-55"/>
          <w:lang w:eastAsia="zh-CN"/>
        </w:rPr>
        <w:t xml:space="preserve"> </w:t>
      </w:r>
      <w:r>
        <w:rPr>
          <w:spacing w:val="-10"/>
          <w:lang w:eastAsia="zh-CN"/>
        </w:rPr>
        <w:t>）能够保证完成微专业课程学习任务；</w:t>
      </w:r>
    </w:p>
    <w:p w14:paraId="180DC283">
      <w:pPr>
        <w:pStyle w:val="2"/>
        <w:spacing w:before="30"/>
        <w:ind w:left="137" w:right="224" w:firstLine="448"/>
        <w:rPr>
          <w:lang w:eastAsia="zh-CN"/>
        </w:rPr>
      </w:pPr>
      <w:r>
        <w:rPr>
          <w:spacing w:val="-4"/>
          <w:lang w:eastAsia="zh-CN"/>
        </w:rPr>
        <w:t>（</w:t>
      </w:r>
      <w:r>
        <w:rPr>
          <w:spacing w:val="-71"/>
          <w:lang w:eastAsia="zh-CN"/>
        </w:rPr>
        <w:t xml:space="preserve"> </w:t>
      </w:r>
      <w:r>
        <w:rPr>
          <w:spacing w:val="-4"/>
          <w:lang w:eastAsia="zh-CN"/>
        </w:rPr>
        <w:t>4）主修学业如受影响，可依据管理办法申请退出，学校出具</w:t>
      </w:r>
      <w:r>
        <w:rPr>
          <w:spacing w:val="-5"/>
          <w:lang w:eastAsia="zh-CN"/>
        </w:rPr>
        <w:t>已修课程证</w:t>
      </w:r>
      <w:r>
        <w:rPr>
          <w:spacing w:val="-21"/>
          <w:lang w:eastAsia="zh-CN"/>
        </w:rPr>
        <w:t>明。</w:t>
      </w:r>
    </w:p>
    <w:p w14:paraId="4009469A">
      <w:pPr>
        <w:pStyle w:val="2"/>
        <w:spacing w:before="1" w:line="217" w:lineRule="auto"/>
        <w:ind w:left="120"/>
        <w:rPr>
          <w:spacing w:val="-2"/>
          <w:lang w:eastAsia="zh-CN"/>
        </w:rPr>
      </w:pPr>
      <w:r>
        <w:rPr>
          <w:spacing w:val="-2"/>
          <w:lang w:eastAsia="zh-CN"/>
        </w:rPr>
        <w:t>七、课程设置及教学安排</w:t>
      </w:r>
    </w:p>
    <w:p w14:paraId="0D75AC4D">
      <w:pPr>
        <w:pStyle w:val="2"/>
        <w:spacing w:before="1" w:line="217" w:lineRule="auto"/>
        <w:ind w:left="120"/>
        <w:rPr>
          <w:lang w:eastAsia="zh-CN"/>
        </w:rPr>
      </w:pPr>
    </w:p>
    <w:p w14:paraId="52E88008">
      <w:pPr>
        <w:pStyle w:val="2"/>
        <w:spacing w:before="29" w:line="212" w:lineRule="auto"/>
        <w:ind w:left="2768"/>
        <w:rPr>
          <w:lang w:eastAsia="zh-CN"/>
        </w:rPr>
      </w:pPr>
      <w:r>
        <w:rPr>
          <w:spacing w:val="-1"/>
          <w:lang w:eastAsia="zh-CN"/>
        </w:rPr>
        <w:t>全科医学微专业教学计划表</w:t>
      </w:r>
    </w:p>
    <w:p w14:paraId="4BA2763F">
      <w:pPr>
        <w:contextualSpacing/>
        <w:jc w:val="center"/>
        <w:rPr>
          <w:rFonts w:ascii="Times New Roman" w:hAnsi="Times New Roman" w:cs="Times New Roman"/>
          <w:sz w:val="2"/>
          <w:lang w:eastAsia="zh-CN"/>
        </w:rPr>
      </w:pPr>
    </w:p>
    <w:tbl>
      <w:tblPr>
        <w:tblStyle w:val="7"/>
        <w:tblW w:w="85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9"/>
        <w:gridCol w:w="753"/>
        <w:gridCol w:w="808"/>
        <w:gridCol w:w="746"/>
        <w:gridCol w:w="701"/>
        <w:gridCol w:w="590"/>
        <w:gridCol w:w="782"/>
        <w:gridCol w:w="708"/>
        <w:gridCol w:w="801"/>
      </w:tblGrid>
      <w:tr w14:paraId="05917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629" w:type="dxa"/>
            <w:vMerge w:val="restart"/>
            <w:tcBorders>
              <w:bottom w:val="nil"/>
            </w:tcBorders>
            <w:vAlign w:val="center"/>
          </w:tcPr>
          <w:p w14:paraId="1D573364">
            <w:pPr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14:paraId="755E32C4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课程名称</w:t>
            </w:r>
          </w:p>
        </w:tc>
        <w:tc>
          <w:tcPr>
            <w:tcW w:w="753" w:type="dxa"/>
            <w:vMerge w:val="restart"/>
            <w:tcBorders>
              <w:bottom w:val="nil"/>
            </w:tcBorders>
            <w:vAlign w:val="center"/>
          </w:tcPr>
          <w:p w14:paraId="1A542BA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F19E69A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学分</w:t>
            </w:r>
          </w:p>
        </w:tc>
        <w:tc>
          <w:tcPr>
            <w:tcW w:w="808" w:type="dxa"/>
            <w:vMerge w:val="restart"/>
            <w:tcBorders>
              <w:bottom w:val="nil"/>
            </w:tcBorders>
            <w:vAlign w:val="center"/>
          </w:tcPr>
          <w:p w14:paraId="4A15FEB7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14"/>
              </w:rPr>
              <w:t>总学</w:t>
            </w:r>
            <w:r>
              <w:rPr>
                <w:rFonts w:ascii="Times New Roman" w:hAnsi="Times New Roman" w:cs="Times New Roman"/>
                <w:b/>
                <w:bCs/>
                <w:spacing w:val="-18"/>
              </w:rPr>
              <w:t>时数</w:t>
            </w:r>
          </w:p>
        </w:tc>
        <w:tc>
          <w:tcPr>
            <w:tcW w:w="2037" w:type="dxa"/>
            <w:gridSpan w:val="3"/>
            <w:vAlign w:val="center"/>
          </w:tcPr>
          <w:p w14:paraId="39937DD3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学时分配</w:t>
            </w:r>
          </w:p>
        </w:tc>
        <w:tc>
          <w:tcPr>
            <w:tcW w:w="782" w:type="dxa"/>
            <w:vMerge w:val="restart"/>
            <w:tcBorders>
              <w:bottom w:val="nil"/>
            </w:tcBorders>
            <w:vAlign w:val="center"/>
          </w:tcPr>
          <w:p w14:paraId="4FA23377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</w:rPr>
              <w:t>考试</w:t>
            </w:r>
            <w:r>
              <w:rPr>
                <w:rFonts w:ascii="Times New Roman" w:hAnsi="Times New Roman" w:cs="Times New Roman"/>
                <w:b/>
                <w:bCs/>
                <w:spacing w:val="-6"/>
              </w:rPr>
              <w:t>课程</w:t>
            </w:r>
          </w:p>
        </w:tc>
        <w:tc>
          <w:tcPr>
            <w:tcW w:w="708" w:type="dxa"/>
            <w:vMerge w:val="restart"/>
            <w:tcBorders>
              <w:bottom w:val="nil"/>
            </w:tcBorders>
            <w:vAlign w:val="center"/>
          </w:tcPr>
          <w:p w14:paraId="7871EA82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建议</w:t>
            </w:r>
          </w:p>
          <w:p w14:paraId="0F460743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修读</w:t>
            </w:r>
          </w:p>
          <w:p w14:paraId="2415BF97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学期</w:t>
            </w:r>
          </w:p>
        </w:tc>
        <w:tc>
          <w:tcPr>
            <w:tcW w:w="801" w:type="dxa"/>
            <w:vMerge w:val="restart"/>
            <w:tcBorders>
              <w:bottom w:val="nil"/>
            </w:tcBorders>
            <w:vAlign w:val="center"/>
          </w:tcPr>
          <w:p w14:paraId="25BEEEB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B593683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</w:rPr>
              <w:t>备注</w:t>
            </w:r>
          </w:p>
        </w:tc>
      </w:tr>
      <w:tr w14:paraId="53D40E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629" w:type="dxa"/>
            <w:vMerge w:val="continue"/>
            <w:tcBorders>
              <w:top w:val="nil"/>
            </w:tcBorders>
            <w:vAlign w:val="center"/>
          </w:tcPr>
          <w:p w14:paraId="14F82BA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dxa"/>
            <w:vMerge w:val="continue"/>
            <w:tcBorders>
              <w:top w:val="nil"/>
            </w:tcBorders>
            <w:vAlign w:val="center"/>
          </w:tcPr>
          <w:p w14:paraId="4C9A5A8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  <w:vMerge w:val="continue"/>
            <w:tcBorders>
              <w:top w:val="nil"/>
            </w:tcBorders>
            <w:vAlign w:val="center"/>
          </w:tcPr>
          <w:p w14:paraId="3F71798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extDirection w:val="tbRlV"/>
            <w:vAlign w:val="center"/>
          </w:tcPr>
          <w:p w14:paraId="6E1A9916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33"/>
              </w:rPr>
              <w:t>讲授</w:t>
            </w:r>
          </w:p>
        </w:tc>
        <w:tc>
          <w:tcPr>
            <w:tcW w:w="701" w:type="dxa"/>
            <w:textDirection w:val="tbRlV"/>
            <w:vAlign w:val="center"/>
          </w:tcPr>
          <w:p w14:paraId="7FE170C0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33"/>
              </w:rPr>
              <w:t>实验</w:t>
            </w:r>
          </w:p>
        </w:tc>
        <w:tc>
          <w:tcPr>
            <w:tcW w:w="590" w:type="dxa"/>
            <w:textDirection w:val="tbRlV"/>
            <w:vAlign w:val="center"/>
          </w:tcPr>
          <w:p w14:paraId="5A4F10DB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33"/>
              </w:rPr>
              <w:t>实践</w:t>
            </w:r>
          </w:p>
        </w:tc>
        <w:tc>
          <w:tcPr>
            <w:tcW w:w="782" w:type="dxa"/>
            <w:vMerge w:val="continue"/>
            <w:tcBorders>
              <w:top w:val="nil"/>
            </w:tcBorders>
            <w:vAlign w:val="center"/>
          </w:tcPr>
          <w:p w14:paraId="512E492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  <w:vAlign w:val="center"/>
          </w:tcPr>
          <w:p w14:paraId="14B4DA8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 w:val="continue"/>
            <w:tcBorders>
              <w:top w:val="nil"/>
            </w:tcBorders>
            <w:vAlign w:val="center"/>
          </w:tcPr>
          <w:p w14:paraId="487A9BD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8BE78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629" w:type="dxa"/>
            <w:vAlign w:val="center"/>
          </w:tcPr>
          <w:p w14:paraId="7ECC39E0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全科医学概论</w:t>
            </w:r>
          </w:p>
        </w:tc>
        <w:tc>
          <w:tcPr>
            <w:tcW w:w="753" w:type="dxa"/>
            <w:vAlign w:val="center"/>
          </w:tcPr>
          <w:p w14:paraId="26974884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808" w:type="dxa"/>
            <w:vAlign w:val="center"/>
          </w:tcPr>
          <w:p w14:paraId="3F2AB703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pacing w:val="-7"/>
              </w:rPr>
              <w:t>1</w:t>
            </w:r>
            <w:r>
              <w:rPr>
                <w:rFonts w:ascii="Times New Roman" w:hAnsi="Times New Roman" w:cs="Times New Roman"/>
                <w:spacing w:val="-7"/>
                <w:lang w:eastAsia="zh-CN"/>
              </w:rPr>
              <w:t>2</w:t>
            </w:r>
          </w:p>
        </w:tc>
        <w:tc>
          <w:tcPr>
            <w:tcW w:w="746" w:type="dxa"/>
            <w:vAlign w:val="center"/>
          </w:tcPr>
          <w:p w14:paraId="16EDF7BD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pacing w:val="-7"/>
              </w:rPr>
              <w:t>1</w:t>
            </w:r>
            <w:r>
              <w:rPr>
                <w:rFonts w:ascii="Times New Roman" w:hAnsi="Times New Roman" w:cs="Times New Roman"/>
                <w:spacing w:val="-7"/>
                <w:lang w:eastAsia="zh-CN"/>
              </w:rPr>
              <w:t>2</w:t>
            </w:r>
          </w:p>
        </w:tc>
        <w:tc>
          <w:tcPr>
            <w:tcW w:w="701" w:type="dxa"/>
            <w:vAlign w:val="center"/>
          </w:tcPr>
          <w:p w14:paraId="73A67F05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vAlign w:val="center"/>
          </w:tcPr>
          <w:p w14:paraId="275C3D25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782" w:type="dxa"/>
            <w:vAlign w:val="center"/>
          </w:tcPr>
          <w:p w14:paraId="4843C22A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考试</w:t>
            </w:r>
          </w:p>
          <w:p w14:paraId="73780732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7F3680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第</w:t>
            </w:r>
            <w:r>
              <w:rPr>
                <w:rFonts w:ascii="Times New Roman" w:hAnsi="Times New Roman" w:cs="Times New Roman"/>
                <w:spacing w:val="-32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>3</w:t>
            </w:r>
          </w:p>
          <w:p w14:paraId="0C5D1E65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0C37D00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D2E0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629" w:type="dxa"/>
            <w:vAlign w:val="center"/>
          </w:tcPr>
          <w:p w14:paraId="227F0DA4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全科医学进展</w:t>
            </w:r>
          </w:p>
        </w:tc>
        <w:tc>
          <w:tcPr>
            <w:tcW w:w="753" w:type="dxa"/>
            <w:vAlign w:val="center"/>
          </w:tcPr>
          <w:p w14:paraId="2FAEAA81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808" w:type="dxa"/>
            <w:vAlign w:val="center"/>
          </w:tcPr>
          <w:p w14:paraId="5BFD91D9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746" w:type="dxa"/>
            <w:vAlign w:val="center"/>
          </w:tcPr>
          <w:p w14:paraId="6E501965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701" w:type="dxa"/>
            <w:vAlign w:val="center"/>
          </w:tcPr>
          <w:p w14:paraId="45A69366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590" w:type="dxa"/>
            <w:vAlign w:val="center"/>
          </w:tcPr>
          <w:p w14:paraId="34FAB25E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782" w:type="dxa"/>
            <w:vAlign w:val="center"/>
          </w:tcPr>
          <w:p w14:paraId="282B1171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考试</w:t>
            </w:r>
          </w:p>
          <w:p w14:paraId="4B722C79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16FBC2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第</w:t>
            </w:r>
            <w:r>
              <w:rPr>
                <w:rFonts w:ascii="Times New Roman" w:hAnsi="Times New Roman" w:cs="Times New Roman"/>
                <w:spacing w:val="-32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>3</w:t>
            </w:r>
          </w:p>
          <w:p w14:paraId="2B298D83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7A3081A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6216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629" w:type="dxa"/>
            <w:vAlign w:val="center"/>
          </w:tcPr>
          <w:p w14:paraId="60B95FCA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临床实践案例分析</w:t>
            </w:r>
          </w:p>
        </w:tc>
        <w:tc>
          <w:tcPr>
            <w:tcW w:w="753" w:type="dxa"/>
            <w:vAlign w:val="center"/>
          </w:tcPr>
          <w:p w14:paraId="657E00C4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808" w:type="dxa"/>
            <w:vAlign w:val="center"/>
          </w:tcPr>
          <w:p w14:paraId="38F61A15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</w:t>
            </w:r>
          </w:p>
        </w:tc>
        <w:tc>
          <w:tcPr>
            <w:tcW w:w="746" w:type="dxa"/>
            <w:vAlign w:val="center"/>
          </w:tcPr>
          <w:p w14:paraId="6FF8C0F7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</w:t>
            </w:r>
          </w:p>
        </w:tc>
        <w:tc>
          <w:tcPr>
            <w:tcW w:w="701" w:type="dxa"/>
            <w:vAlign w:val="center"/>
          </w:tcPr>
          <w:p w14:paraId="290F8D55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590" w:type="dxa"/>
            <w:vAlign w:val="center"/>
          </w:tcPr>
          <w:p w14:paraId="090A56B5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782" w:type="dxa"/>
            <w:vAlign w:val="center"/>
          </w:tcPr>
          <w:p w14:paraId="360AC773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考试</w:t>
            </w:r>
          </w:p>
          <w:p w14:paraId="26FC48A5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6DE4AA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</w:rPr>
              <w:t>第3</w:t>
            </w:r>
          </w:p>
          <w:p w14:paraId="1C97D5B9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049E30B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6263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629" w:type="dxa"/>
            <w:vAlign w:val="center"/>
          </w:tcPr>
          <w:p w14:paraId="073EC82E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全科未分化疾病全科诊疗思维</w:t>
            </w:r>
          </w:p>
        </w:tc>
        <w:tc>
          <w:tcPr>
            <w:tcW w:w="753" w:type="dxa"/>
            <w:vAlign w:val="center"/>
          </w:tcPr>
          <w:p w14:paraId="105A2072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1.5</w:t>
            </w:r>
          </w:p>
        </w:tc>
        <w:tc>
          <w:tcPr>
            <w:tcW w:w="808" w:type="dxa"/>
            <w:vAlign w:val="center"/>
          </w:tcPr>
          <w:p w14:paraId="08CC1ECB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28</w:t>
            </w:r>
          </w:p>
        </w:tc>
        <w:tc>
          <w:tcPr>
            <w:tcW w:w="746" w:type="dxa"/>
            <w:vAlign w:val="center"/>
          </w:tcPr>
          <w:p w14:paraId="52706171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</w:t>
            </w:r>
          </w:p>
        </w:tc>
        <w:tc>
          <w:tcPr>
            <w:tcW w:w="701" w:type="dxa"/>
            <w:vAlign w:val="center"/>
          </w:tcPr>
          <w:p w14:paraId="6907A579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590" w:type="dxa"/>
            <w:vAlign w:val="center"/>
          </w:tcPr>
          <w:p w14:paraId="0BDB8696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782" w:type="dxa"/>
            <w:vAlign w:val="center"/>
          </w:tcPr>
          <w:p w14:paraId="7679696A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考试</w:t>
            </w:r>
          </w:p>
          <w:p w14:paraId="1574E5AD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vAlign w:val="center"/>
          </w:tcPr>
          <w:p w14:paraId="575D413F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第</w:t>
            </w:r>
            <w:r>
              <w:rPr>
                <w:rFonts w:ascii="Times New Roman" w:hAnsi="Times New Roman" w:cs="Times New Roman"/>
                <w:spacing w:val="-32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>3</w:t>
            </w:r>
          </w:p>
          <w:p w14:paraId="04D7FFD4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691DFF5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1F22A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629" w:type="dxa"/>
            <w:shd w:val="clear" w:color="auto" w:fill="auto"/>
            <w:vAlign w:val="center"/>
          </w:tcPr>
          <w:p w14:paraId="61133F51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慢性病多病共存全科诊疗思维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577FC3E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1.5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6311718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9ED3F95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pacing w:val="-7"/>
              </w:rPr>
              <w:t>1</w:t>
            </w:r>
            <w:r>
              <w:rPr>
                <w:rFonts w:ascii="Times New Roman" w:hAnsi="Times New Roman" w:cs="Times New Roman"/>
                <w:spacing w:val="-7"/>
                <w:lang w:eastAsia="zh-CN"/>
              </w:rPr>
              <w:t>2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3BBB88AA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8220BBE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8439AEF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考试</w:t>
            </w:r>
          </w:p>
          <w:p w14:paraId="26BF844C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97A412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pacing w:val="-11"/>
              </w:rPr>
              <w:t>第</w:t>
            </w:r>
            <w:r>
              <w:rPr>
                <w:rFonts w:ascii="Times New Roman" w:hAnsi="Times New Roman" w:cs="Times New Roman"/>
                <w:spacing w:val="-32"/>
              </w:rPr>
              <w:t xml:space="preserve"> </w:t>
            </w:r>
            <w:r>
              <w:rPr>
                <w:rFonts w:ascii="Times New Roman" w:hAnsi="Times New Roman" w:cs="Times New Roman"/>
                <w:spacing w:val="-32"/>
                <w:lang w:eastAsia="zh-CN"/>
              </w:rPr>
              <w:t>4</w:t>
            </w:r>
          </w:p>
          <w:p w14:paraId="67E44E07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0B73D60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4706A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2629" w:type="dxa"/>
            <w:vAlign w:val="center"/>
          </w:tcPr>
          <w:p w14:paraId="4A0A5780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4"/>
              </w:rPr>
              <w:t>医患沟通与人文医学</w:t>
            </w:r>
          </w:p>
        </w:tc>
        <w:tc>
          <w:tcPr>
            <w:tcW w:w="753" w:type="dxa"/>
            <w:vAlign w:val="center"/>
          </w:tcPr>
          <w:p w14:paraId="63297FF7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0.5</w:t>
            </w:r>
          </w:p>
        </w:tc>
        <w:tc>
          <w:tcPr>
            <w:tcW w:w="808" w:type="dxa"/>
            <w:vAlign w:val="center"/>
          </w:tcPr>
          <w:p w14:paraId="47FC8130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</w:t>
            </w:r>
          </w:p>
        </w:tc>
        <w:tc>
          <w:tcPr>
            <w:tcW w:w="746" w:type="dxa"/>
            <w:vAlign w:val="center"/>
          </w:tcPr>
          <w:p w14:paraId="3FFC8218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</w:t>
            </w:r>
          </w:p>
        </w:tc>
        <w:tc>
          <w:tcPr>
            <w:tcW w:w="701" w:type="dxa"/>
            <w:vAlign w:val="center"/>
          </w:tcPr>
          <w:p w14:paraId="7ACF4EBC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vAlign w:val="center"/>
          </w:tcPr>
          <w:p w14:paraId="13126930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782" w:type="dxa"/>
            <w:vAlign w:val="center"/>
          </w:tcPr>
          <w:p w14:paraId="04A17B4C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考核</w:t>
            </w:r>
          </w:p>
          <w:p w14:paraId="32FD0712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vAlign w:val="center"/>
          </w:tcPr>
          <w:p w14:paraId="551EF2EB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第</w:t>
            </w:r>
            <w:r>
              <w:rPr>
                <w:rFonts w:ascii="Times New Roman" w:hAnsi="Times New Roman" w:cs="Times New Roman"/>
                <w:spacing w:val="-43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>4</w:t>
            </w:r>
          </w:p>
          <w:p w14:paraId="271F071C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14F500A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4F1C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2629" w:type="dxa"/>
            <w:vAlign w:val="center"/>
          </w:tcPr>
          <w:p w14:paraId="1614A912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基层卫生政策与分级诊疗体系</w:t>
            </w:r>
          </w:p>
        </w:tc>
        <w:tc>
          <w:tcPr>
            <w:tcW w:w="753" w:type="dxa"/>
            <w:vAlign w:val="center"/>
          </w:tcPr>
          <w:p w14:paraId="67338E77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808" w:type="dxa"/>
            <w:vAlign w:val="center"/>
          </w:tcPr>
          <w:p w14:paraId="5EDDE0FE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</w:t>
            </w:r>
          </w:p>
        </w:tc>
        <w:tc>
          <w:tcPr>
            <w:tcW w:w="746" w:type="dxa"/>
            <w:vAlign w:val="center"/>
          </w:tcPr>
          <w:p w14:paraId="1DCCA187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</w:t>
            </w:r>
          </w:p>
        </w:tc>
        <w:tc>
          <w:tcPr>
            <w:tcW w:w="701" w:type="dxa"/>
            <w:vAlign w:val="center"/>
          </w:tcPr>
          <w:p w14:paraId="56D9C136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vAlign w:val="center"/>
          </w:tcPr>
          <w:p w14:paraId="651A7508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782" w:type="dxa"/>
            <w:vAlign w:val="center"/>
          </w:tcPr>
          <w:p w14:paraId="4AD25157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考核</w:t>
            </w:r>
          </w:p>
          <w:p w14:paraId="6AFA7500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vAlign w:val="center"/>
          </w:tcPr>
          <w:p w14:paraId="1BD1F0B6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第</w:t>
            </w:r>
            <w:r>
              <w:rPr>
                <w:rFonts w:ascii="Times New Roman" w:hAnsi="Times New Roman" w:cs="Times New Roman"/>
                <w:spacing w:val="-43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>4</w:t>
            </w:r>
          </w:p>
          <w:p w14:paraId="0C4D70FF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3705E98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8BBB6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629" w:type="dxa"/>
            <w:vAlign w:val="center"/>
          </w:tcPr>
          <w:p w14:paraId="6B11839A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全科医学综合实践</w:t>
            </w:r>
          </w:p>
        </w:tc>
        <w:tc>
          <w:tcPr>
            <w:tcW w:w="753" w:type="dxa"/>
            <w:vAlign w:val="center"/>
          </w:tcPr>
          <w:p w14:paraId="0F7D856F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808" w:type="dxa"/>
            <w:vAlign w:val="center"/>
          </w:tcPr>
          <w:p w14:paraId="5B626E8F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</w:t>
            </w:r>
          </w:p>
        </w:tc>
        <w:tc>
          <w:tcPr>
            <w:tcW w:w="746" w:type="dxa"/>
            <w:vAlign w:val="center"/>
          </w:tcPr>
          <w:p w14:paraId="2771C54E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</w:t>
            </w:r>
          </w:p>
        </w:tc>
        <w:tc>
          <w:tcPr>
            <w:tcW w:w="701" w:type="dxa"/>
            <w:vAlign w:val="center"/>
          </w:tcPr>
          <w:p w14:paraId="1E0B7AF5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vAlign w:val="center"/>
          </w:tcPr>
          <w:p w14:paraId="792A1BC6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16</w:t>
            </w:r>
          </w:p>
        </w:tc>
        <w:tc>
          <w:tcPr>
            <w:tcW w:w="782" w:type="dxa"/>
            <w:vAlign w:val="center"/>
          </w:tcPr>
          <w:p w14:paraId="0EE1D6F6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考核</w:t>
            </w:r>
          </w:p>
          <w:p w14:paraId="443EFF34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>课程</w:t>
            </w:r>
          </w:p>
        </w:tc>
        <w:tc>
          <w:tcPr>
            <w:tcW w:w="708" w:type="dxa"/>
            <w:vAlign w:val="center"/>
          </w:tcPr>
          <w:p w14:paraId="19124E66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第</w:t>
            </w:r>
            <w:r>
              <w:rPr>
                <w:rFonts w:ascii="Times New Roman" w:hAnsi="Times New Roman" w:cs="Times New Roman"/>
                <w:spacing w:val="-43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>4</w:t>
            </w:r>
          </w:p>
          <w:p w14:paraId="5112A87A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学期</w:t>
            </w:r>
          </w:p>
        </w:tc>
        <w:tc>
          <w:tcPr>
            <w:tcW w:w="801" w:type="dxa"/>
            <w:vAlign w:val="center"/>
          </w:tcPr>
          <w:p w14:paraId="096F655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E63F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2629" w:type="dxa"/>
            <w:vAlign w:val="center"/>
          </w:tcPr>
          <w:p w14:paraId="49B2330B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4"/>
              </w:rPr>
              <w:t>合计</w:t>
            </w:r>
          </w:p>
        </w:tc>
        <w:tc>
          <w:tcPr>
            <w:tcW w:w="753" w:type="dxa"/>
            <w:vAlign w:val="center"/>
          </w:tcPr>
          <w:p w14:paraId="42846A49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8.5</w:t>
            </w:r>
          </w:p>
        </w:tc>
        <w:tc>
          <w:tcPr>
            <w:tcW w:w="808" w:type="dxa"/>
            <w:vAlign w:val="center"/>
          </w:tcPr>
          <w:p w14:paraId="2144B15C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160</w:t>
            </w:r>
          </w:p>
        </w:tc>
        <w:tc>
          <w:tcPr>
            <w:tcW w:w="746" w:type="dxa"/>
            <w:vAlign w:val="center"/>
          </w:tcPr>
          <w:p w14:paraId="63FF461F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80</w:t>
            </w:r>
          </w:p>
        </w:tc>
        <w:tc>
          <w:tcPr>
            <w:tcW w:w="701" w:type="dxa"/>
            <w:vAlign w:val="center"/>
          </w:tcPr>
          <w:p w14:paraId="4ACD7D53">
            <w:pPr>
              <w:pStyle w:val="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0" w:type="dxa"/>
            <w:vAlign w:val="center"/>
          </w:tcPr>
          <w:p w14:paraId="53A85CE1">
            <w:pPr>
              <w:pStyle w:val="8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80</w:t>
            </w:r>
          </w:p>
        </w:tc>
        <w:tc>
          <w:tcPr>
            <w:tcW w:w="782" w:type="dxa"/>
            <w:vAlign w:val="center"/>
          </w:tcPr>
          <w:p w14:paraId="3F3872F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B0A041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Align w:val="center"/>
          </w:tcPr>
          <w:p w14:paraId="52C7EFE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1A2529">
      <w:pPr>
        <w:pStyle w:val="2"/>
        <w:spacing w:before="78" w:line="217" w:lineRule="auto"/>
        <w:ind w:left="119"/>
        <w:outlineLvl w:val="0"/>
      </w:pPr>
      <w:bookmarkStart w:id="0" w:name="_GoBack"/>
      <w:bookmarkEnd w:id="0"/>
    </w:p>
    <w:sectPr>
      <w:footerReference r:id="rId3" w:type="default"/>
      <w:pgSz w:w="11907" w:h="16839"/>
      <w:pgMar w:top="1431" w:right="1690" w:bottom="1405" w:left="1692" w:header="0" w:footer="117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5DC07">
    <w:pPr>
      <w:spacing w:line="223" w:lineRule="auto"/>
      <w:ind w:left="4041"/>
      <w:rPr>
        <w:rFonts w:ascii="宋体" w:hAnsi="宋体" w:eastAsia="宋体" w:cs="宋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596161"/>
    <w:rsid w:val="0055703A"/>
    <w:rsid w:val="00596161"/>
    <w:rsid w:val="006E2E3B"/>
    <w:rsid w:val="006F6B29"/>
    <w:rsid w:val="008C5A08"/>
    <w:rsid w:val="00A179F6"/>
    <w:rsid w:val="00CA6DC8"/>
    <w:rsid w:val="00CD6243"/>
    <w:rsid w:val="00D66CFB"/>
    <w:rsid w:val="00F1470A"/>
    <w:rsid w:val="12AC0A51"/>
    <w:rsid w:val="37195B6A"/>
    <w:rsid w:val="3F381A76"/>
    <w:rsid w:val="4811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9">
    <w:name w:val="页眉 字符"/>
    <w:basedOn w:val="6"/>
    <w:link w:val="4"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3"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930</Words>
  <Characters>966</Characters>
  <Lines>8</Lines>
  <Paragraphs>2</Paragraphs>
  <TotalTime>80</TotalTime>
  <ScaleCrop>false</ScaleCrop>
  <LinksUpToDate>false</LinksUpToDate>
  <CharactersWithSpaces>995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2026-09-04T11:10:00Z</dcterms:created>
  <dc:creator>晶晶</dc:creator>
  <cp:lastModifiedBy>Administrator</cp:lastModifiedBy>
  <dcterms:modified xsi:type="dcterms:W3CDTF">2026-09-04T06:35:32Z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2026-09-04T11:11:34Z</vt:filetime>
  </property>
  <property fmtid="{D5CDD505-2E9C-101B-9397-08002B2CF9AE}" pid="4" name="KSOTemplateDocerSaveRecord">
    <vt:lpwstr>eyJoZGlkIjoiNjhkYzkxMzFiZjY1YjYwMGQ4ZGM5ZmQ0NTUyM2RjMmMiLCJ1c2VySWQiOiIzMDQ1Njg5MDMifQ==</vt:lpwstr>
  </property>
  <property fmtid="{D5CDD505-2E9C-101B-9397-08002B2CF9AE}" pid="5" name="KSOProductBuildVer">
    <vt:lpwstr>2052-12.1.0.28043</vt:lpwstr>
  </property>
  <property fmtid="{D5CDD505-2E9C-101B-9397-08002B2CF9AE}" pid="6" name="ICV">
    <vt:lpwstr>29870BA875074AC2859D44EC9E025F9A_12</vt:lpwstr>
  </property>
</Properties>
</file>