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Theme="minorEastAsia"/>
          <w:b/>
          <w:bCs/>
          <w:sz w:val="36"/>
          <w:szCs w:val="36"/>
        </w:rPr>
      </w:pPr>
      <w:r>
        <w:rPr>
          <w:rFonts w:eastAsiaTheme="minorEastAsia"/>
          <w:b/>
          <w:bCs/>
          <w:sz w:val="36"/>
          <w:szCs w:val="36"/>
        </w:rPr>
        <w:t>南通大学电气工程学院2020级全日制本科生转专业</w:t>
      </w:r>
    </w:p>
    <w:p>
      <w:pPr>
        <w:spacing w:line="300" w:lineRule="auto"/>
        <w:jc w:val="center"/>
        <w:rPr>
          <w:rFonts w:eastAsiaTheme="minorEastAsia"/>
          <w:b/>
          <w:bCs/>
          <w:sz w:val="36"/>
          <w:szCs w:val="36"/>
        </w:rPr>
      </w:pPr>
      <w:r>
        <w:rPr>
          <w:rFonts w:eastAsiaTheme="minorEastAsia"/>
          <w:b/>
          <w:bCs/>
          <w:sz w:val="36"/>
          <w:szCs w:val="36"/>
        </w:rPr>
        <w:t>方案</w:t>
      </w:r>
    </w:p>
    <w:p>
      <w:pPr>
        <w:pStyle w:val="5"/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</w:rPr>
        <w:t>根据《关于印发&lt;南通大学全日制普通本科学生转专业实施办法&gt;的通知》（通大教〔2019〕59号）、《关于做好2020级全日制普通本科生转专业有关工作的通知》（通大处教〔2021〕20号）等有关文件和学院的办学条件，为确保转专业工作的公平、公正、公开，经学院党政联席会议研究并制定电气工程学院2020级全日制本科学生各专业转入考核方案。</w:t>
      </w:r>
    </w:p>
    <w:p>
      <w:pPr>
        <w:pStyle w:val="12"/>
        <w:numPr>
          <w:ilvl w:val="0"/>
          <w:numId w:val="1"/>
        </w:numPr>
        <w:spacing w:line="560" w:lineRule="exact"/>
        <w:ind w:left="0" w:firstLine="0" w:firstLineChars="0"/>
        <w:rPr>
          <w:rFonts w:eastAsia="仿宋"/>
          <w:color w:val="000000"/>
          <w:sz w:val="32"/>
          <w:szCs w:val="32"/>
        </w:rPr>
      </w:pPr>
      <w:r>
        <w:rPr>
          <w:rFonts w:eastAsia="仿宋"/>
          <w:color w:val="000000"/>
          <w:sz w:val="32"/>
          <w:szCs w:val="32"/>
        </w:rPr>
        <w:t>学院成立由党政领导、各系室及分团委负责人、教务管理人员、纪检监察员组成的转专业工作领导小组（见附1），全面负责转专业工作。</w:t>
      </w:r>
    </w:p>
    <w:p>
      <w:pPr>
        <w:pStyle w:val="12"/>
        <w:numPr>
          <w:ilvl w:val="0"/>
          <w:numId w:val="1"/>
        </w:numPr>
        <w:spacing w:line="560" w:lineRule="exact"/>
        <w:ind w:left="0" w:firstLine="0" w:firstLineChars="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根据学校规定和学院实际情况，本学期各专业允许转入人数见下表</w:t>
      </w:r>
    </w:p>
    <w:tbl>
      <w:tblPr>
        <w:tblStyle w:val="6"/>
        <w:tblW w:w="79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8"/>
        <w:gridCol w:w="2376"/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8" w:type="dxa"/>
          </w:tcPr>
          <w:p>
            <w:pPr>
              <w:spacing w:line="560" w:lineRule="exact"/>
              <w:ind w:firstLine="640" w:firstLineChars="200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专业名称</w:t>
            </w:r>
          </w:p>
        </w:tc>
        <w:tc>
          <w:tcPr>
            <w:tcW w:w="2376" w:type="dxa"/>
          </w:tcPr>
          <w:p>
            <w:pPr>
              <w:spacing w:line="560" w:lineRule="exact"/>
              <w:ind w:firstLine="640" w:firstLineChars="200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2020级</w:t>
            </w:r>
          </w:p>
          <w:p>
            <w:pPr>
              <w:spacing w:line="56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允许转入人数</w:t>
            </w:r>
          </w:p>
        </w:tc>
        <w:tc>
          <w:tcPr>
            <w:tcW w:w="2376" w:type="dxa"/>
          </w:tcPr>
          <w:p>
            <w:pPr>
              <w:spacing w:line="560" w:lineRule="exact"/>
              <w:ind w:firstLine="640" w:firstLineChars="200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2021级</w:t>
            </w:r>
          </w:p>
          <w:p>
            <w:pPr>
              <w:spacing w:line="56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允许转入人数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3238" w:type="dxa"/>
          </w:tcPr>
          <w:p>
            <w:pPr>
              <w:spacing w:line="560" w:lineRule="exact"/>
              <w:ind w:firstLine="800" w:firstLineChars="250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自动化</w:t>
            </w:r>
          </w:p>
        </w:tc>
        <w:tc>
          <w:tcPr>
            <w:tcW w:w="2376" w:type="dxa"/>
          </w:tcPr>
          <w:p>
            <w:pPr>
              <w:spacing w:line="560" w:lineRule="exact"/>
              <w:jc w:val="center"/>
              <w:rPr>
                <w:rFonts w:eastAsia="仿宋"/>
                <w:color w:val="000000" w:themeColor="text1"/>
                <w:sz w:val="32"/>
                <w:szCs w:val="32"/>
              </w:rPr>
            </w:pPr>
            <w:r>
              <w:rPr>
                <w:rFonts w:eastAsia="仿宋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376" w:type="dxa"/>
          </w:tcPr>
          <w:p>
            <w:pPr>
              <w:spacing w:line="560" w:lineRule="exact"/>
              <w:jc w:val="center"/>
              <w:rPr>
                <w:rFonts w:eastAsia="仿宋"/>
                <w:color w:val="000000" w:themeColor="text1"/>
                <w:sz w:val="32"/>
                <w:szCs w:val="32"/>
              </w:rPr>
            </w:pPr>
            <w:r>
              <w:rPr>
                <w:rFonts w:eastAsia="仿宋"/>
                <w:color w:val="000000" w:themeColor="text1"/>
                <w:sz w:val="32"/>
                <w:szCs w:val="32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8" w:type="dxa"/>
          </w:tcPr>
          <w:p>
            <w:pPr>
              <w:spacing w:line="56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电气工程及其自动化</w:t>
            </w:r>
          </w:p>
        </w:tc>
        <w:tc>
          <w:tcPr>
            <w:tcW w:w="2376" w:type="dxa"/>
          </w:tcPr>
          <w:p>
            <w:pPr>
              <w:spacing w:line="560" w:lineRule="exact"/>
              <w:jc w:val="center"/>
              <w:rPr>
                <w:rFonts w:eastAsia="仿宋"/>
                <w:color w:val="000000" w:themeColor="text1"/>
                <w:sz w:val="32"/>
                <w:szCs w:val="32"/>
              </w:rPr>
            </w:pPr>
            <w:r>
              <w:rPr>
                <w:rFonts w:eastAsia="仿宋"/>
                <w:color w:val="000000" w:themeColor="text1"/>
                <w:sz w:val="32"/>
                <w:szCs w:val="32"/>
              </w:rPr>
              <w:t>17</w:t>
            </w:r>
          </w:p>
        </w:tc>
        <w:tc>
          <w:tcPr>
            <w:tcW w:w="2376" w:type="dxa"/>
          </w:tcPr>
          <w:p>
            <w:pPr>
              <w:spacing w:line="560" w:lineRule="exact"/>
              <w:jc w:val="center"/>
              <w:rPr>
                <w:rFonts w:eastAsia="仿宋"/>
                <w:color w:val="000000" w:themeColor="text1"/>
                <w:sz w:val="32"/>
                <w:szCs w:val="32"/>
              </w:rPr>
            </w:pPr>
            <w:r>
              <w:rPr>
                <w:rFonts w:eastAsia="仿宋"/>
                <w:color w:val="000000" w:themeColor="text1"/>
                <w:sz w:val="32"/>
                <w:szCs w:val="32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8" w:type="dxa"/>
          </w:tcPr>
          <w:p>
            <w:pPr>
              <w:spacing w:line="560" w:lineRule="exact"/>
              <w:jc w:val="center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机器人工程</w:t>
            </w:r>
          </w:p>
        </w:tc>
        <w:tc>
          <w:tcPr>
            <w:tcW w:w="2376" w:type="dxa"/>
          </w:tcPr>
          <w:p>
            <w:pPr>
              <w:spacing w:line="560" w:lineRule="exact"/>
              <w:jc w:val="center"/>
              <w:rPr>
                <w:rFonts w:eastAsia="仿宋"/>
                <w:color w:val="000000" w:themeColor="text1"/>
                <w:sz w:val="32"/>
                <w:szCs w:val="32"/>
              </w:rPr>
            </w:pPr>
            <w:r>
              <w:rPr>
                <w:rFonts w:eastAsia="仿宋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376" w:type="dxa"/>
          </w:tcPr>
          <w:p>
            <w:pPr>
              <w:spacing w:line="560" w:lineRule="exact"/>
              <w:jc w:val="center"/>
              <w:rPr>
                <w:rFonts w:eastAsia="仿宋"/>
                <w:color w:val="000000" w:themeColor="text1"/>
                <w:sz w:val="32"/>
                <w:szCs w:val="32"/>
              </w:rPr>
            </w:pPr>
            <w:r>
              <w:rPr>
                <w:rFonts w:eastAsia="仿宋"/>
                <w:color w:val="000000" w:themeColor="text1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8" w:type="dxa"/>
          </w:tcPr>
          <w:p>
            <w:pPr>
              <w:spacing w:line="560" w:lineRule="exact"/>
              <w:jc w:val="center"/>
              <w:rPr>
                <w:rFonts w:hint="default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"/>
                <w:sz w:val="32"/>
                <w:szCs w:val="32"/>
                <w:lang w:val="en-US" w:eastAsia="zh-CN"/>
              </w:rPr>
              <w:t>建筑电气与智能化</w:t>
            </w:r>
          </w:p>
        </w:tc>
        <w:tc>
          <w:tcPr>
            <w:tcW w:w="2376" w:type="dxa"/>
          </w:tcPr>
          <w:p>
            <w:pPr>
              <w:spacing w:line="560" w:lineRule="exact"/>
              <w:jc w:val="center"/>
              <w:rPr>
                <w:rFonts w:hint="eastAsia" w:eastAsia="仿宋"/>
                <w:color w:val="000000" w:themeColor="text1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"/>
                <w:color w:val="000000" w:themeColor="text1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376" w:type="dxa"/>
          </w:tcPr>
          <w:p>
            <w:pPr>
              <w:spacing w:line="560" w:lineRule="exact"/>
              <w:jc w:val="center"/>
              <w:rPr>
                <w:rFonts w:hint="eastAsia" w:eastAsia="仿宋"/>
                <w:color w:val="000000" w:themeColor="text1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"/>
                <w:color w:val="000000" w:themeColor="text1"/>
                <w:sz w:val="32"/>
                <w:szCs w:val="32"/>
                <w:lang w:val="en-US" w:eastAsia="zh-CN"/>
              </w:rPr>
              <w:t>/</w:t>
            </w:r>
            <w:bookmarkStart w:id="0" w:name="_GoBack"/>
            <w:bookmarkEnd w:id="0"/>
          </w:p>
        </w:tc>
      </w:tr>
    </w:tbl>
    <w:p>
      <w:pPr>
        <w:pStyle w:val="12"/>
        <w:numPr>
          <w:ilvl w:val="0"/>
          <w:numId w:val="1"/>
        </w:numPr>
        <w:spacing w:line="560" w:lineRule="exact"/>
        <w:ind w:left="0" w:firstLine="0" w:firstLineChars="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考核方案、方式</w:t>
      </w:r>
    </w:p>
    <w:p>
      <w:pPr>
        <w:pStyle w:val="12"/>
        <w:spacing w:line="560" w:lineRule="exact"/>
        <w:ind w:firstLine="425" w:firstLineChars="133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fldChar w:fldCharType="begin"/>
      </w:r>
      <w:r>
        <w:rPr>
          <w:rFonts w:eastAsia="仿宋"/>
          <w:sz w:val="32"/>
          <w:szCs w:val="32"/>
        </w:rPr>
        <w:instrText xml:space="preserve">= 1 \* GB4</w:instrText>
      </w:r>
      <w:r>
        <w:rPr>
          <w:rFonts w:eastAsia="仿宋"/>
          <w:sz w:val="32"/>
          <w:szCs w:val="32"/>
        </w:rPr>
        <w:fldChar w:fldCharType="separate"/>
      </w:r>
      <w:r>
        <w:rPr>
          <w:rFonts w:eastAsia="仿宋"/>
          <w:sz w:val="32"/>
          <w:szCs w:val="32"/>
        </w:rPr>
        <w:t>㈠</w:t>
      </w:r>
      <w:r>
        <w:rPr>
          <w:rFonts w:eastAsia="仿宋"/>
          <w:sz w:val="32"/>
          <w:szCs w:val="32"/>
        </w:rPr>
        <w:fldChar w:fldCharType="end"/>
      </w:r>
      <w:r>
        <w:rPr>
          <w:rFonts w:eastAsia="仿宋"/>
          <w:sz w:val="32"/>
          <w:szCs w:val="32"/>
        </w:rPr>
        <w:t>、考核方案</w:t>
      </w:r>
    </w:p>
    <w:p>
      <w:pPr>
        <w:pStyle w:val="12"/>
        <w:spacing w:line="560" w:lineRule="exact"/>
        <w:ind w:left="708" w:leftChars="337" w:firstLine="419" w:firstLineChars="131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资格审核通过后一志愿报名人数小于等于该专业计划数，学生不需要参加学校和学院组织的考核，直接被录取；当二志愿报名人数超过剩余名额时，学生参加学院组织的面试考核，学院择优录取。</w:t>
      </w:r>
    </w:p>
    <w:p>
      <w:pPr>
        <w:pStyle w:val="12"/>
        <w:spacing w:line="560" w:lineRule="exact"/>
        <w:ind w:left="708" w:leftChars="337" w:firstLine="419" w:firstLineChars="131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资格审核通过后一志愿报名人数大于计划数的，学生参加学校组织的笔试考试，成绩在计划数前1.5倍的学生参加学院组织的面试考核(末位同分者均参加)。录取时，学校组织的笔试成绩、学院组织的面试考核成绩各占50%。</w:t>
      </w:r>
    </w:p>
    <w:p>
      <w:pPr>
        <w:spacing w:line="560" w:lineRule="exact"/>
        <w:ind w:firstLine="419" w:firstLineChars="131"/>
        <w:rPr>
          <w:rFonts w:eastAsia="仿宋"/>
          <w:kern w:val="0"/>
          <w:sz w:val="32"/>
          <w:szCs w:val="32"/>
        </w:rPr>
      </w:pPr>
      <w:r>
        <w:rPr>
          <w:rFonts w:eastAsia="仿宋"/>
          <w:sz w:val="32"/>
          <w:szCs w:val="32"/>
        </w:rPr>
        <w:fldChar w:fldCharType="begin"/>
      </w:r>
      <w:r>
        <w:rPr>
          <w:rFonts w:eastAsia="仿宋"/>
          <w:sz w:val="32"/>
          <w:szCs w:val="32"/>
        </w:rPr>
        <w:instrText xml:space="preserve">= 2 \* GB4</w:instrText>
      </w:r>
      <w:r>
        <w:rPr>
          <w:rFonts w:eastAsia="仿宋"/>
          <w:sz w:val="32"/>
          <w:szCs w:val="32"/>
        </w:rPr>
        <w:fldChar w:fldCharType="separate"/>
      </w:r>
      <w:r>
        <w:rPr>
          <w:rFonts w:eastAsia="仿宋"/>
          <w:sz w:val="32"/>
          <w:szCs w:val="32"/>
        </w:rPr>
        <w:t>㈡</w:t>
      </w:r>
      <w:r>
        <w:rPr>
          <w:rFonts w:eastAsia="仿宋"/>
          <w:sz w:val="32"/>
          <w:szCs w:val="32"/>
        </w:rPr>
        <w:fldChar w:fldCharType="end"/>
      </w:r>
      <w:r>
        <w:rPr>
          <w:rFonts w:eastAsia="仿宋"/>
          <w:sz w:val="32"/>
          <w:szCs w:val="32"/>
        </w:rPr>
        <w:t>、考核方式：</w:t>
      </w:r>
    </w:p>
    <w:p>
      <w:pPr>
        <w:pStyle w:val="12"/>
        <w:spacing w:line="560" w:lineRule="exact"/>
        <w:ind w:left="708" w:leftChars="337" w:firstLine="419" w:firstLineChars="131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1</w:t>
      </w:r>
      <w:r>
        <w:rPr>
          <w:rFonts w:eastAsia="仿宋"/>
          <w:sz w:val="32"/>
          <w:szCs w:val="32"/>
        </w:rPr>
        <w:t>、</w:t>
      </w:r>
      <w:r>
        <w:rPr>
          <w:rFonts w:eastAsia="仿宋"/>
          <w:kern w:val="0"/>
          <w:sz w:val="32"/>
          <w:szCs w:val="32"/>
        </w:rPr>
        <w:t>本次转专业学校统一组织笔试的科目为：大学英语。</w:t>
      </w:r>
    </w:p>
    <w:p>
      <w:pPr>
        <w:pStyle w:val="12"/>
        <w:spacing w:line="560" w:lineRule="exact"/>
        <w:ind w:left="708" w:leftChars="337" w:firstLine="419" w:firstLineChars="131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2、</w:t>
      </w:r>
      <w:r>
        <w:rPr>
          <w:rFonts w:eastAsia="仿宋"/>
          <w:kern w:val="0"/>
          <w:sz w:val="32"/>
          <w:szCs w:val="32"/>
        </w:rPr>
        <w:t>学院组织的面试考核</w:t>
      </w:r>
      <w:r>
        <w:rPr>
          <w:rFonts w:eastAsia="仿宋"/>
          <w:sz w:val="32"/>
          <w:szCs w:val="32"/>
        </w:rPr>
        <w:t>：</w:t>
      </w:r>
    </w:p>
    <w:p>
      <w:pPr>
        <w:pStyle w:val="12"/>
        <w:spacing w:line="560" w:lineRule="exact"/>
        <w:ind w:left="480" w:firstLine="640"/>
        <w:rPr>
          <w:rFonts w:eastAsia="仿宋"/>
          <w:kern w:val="0"/>
          <w:sz w:val="32"/>
          <w:szCs w:val="32"/>
        </w:rPr>
      </w:pPr>
      <w:r>
        <w:rPr>
          <w:rFonts w:eastAsia="仿宋"/>
          <w:sz w:val="32"/>
          <w:szCs w:val="32"/>
        </w:rPr>
        <w:t>1）、面试</w:t>
      </w:r>
      <w:r>
        <w:rPr>
          <w:rFonts w:eastAsia="仿宋"/>
          <w:kern w:val="0"/>
          <w:sz w:val="32"/>
          <w:szCs w:val="32"/>
        </w:rPr>
        <w:t>专家构成、方式</w:t>
      </w:r>
    </w:p>
    <w:p>
      <w:pPr>
        <w:pStyle w:val="12"/>
        <w:spacing w:line="560" w:lineRule="exact"/>
        <w:ind w:left="708" w:leftChars="337" w:firstLine="419" w:firstLineChars="131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fldChar w:fldCharType="begin"/>
      </w:r>
      <w:r>
        <w:rPr>
          <w:rFonts w:eastAsia="仿宋"/>
          <w:sz w:val="32"/>
          <w:szCs w:val="32"/>
        </w:rPr>
        <w:instrText xml:space="preserve">= 1 \* GB3</w:instrText>
      </w:r>
      <w:r>
        <w:rPr>
          <w:rFonts w:eastAsia="仿宋"/>
          <w:sz w:val="32"/>
          <w:szCs w:val="32"/>
        </w:rPr>
        <w:fldChar w:fldCharType="separate"/>
      </w:r>
      <w:r>
        <w:rPr>
          <w:rFonts w:hint="eastAsia" w:ascii="宋体" w:hAnsi="宋体" w:cs="宋体"/>
          <w:sz w:val="32"/>
          <w:szCs w:val="32"/>
        </w:rPr>
        <w:t>①</w:t>
      </w:r>
      <w:r>
        <w:rPr>
          <w:rFonts w:eastAsia="仿宋"/>
          <w:sz w:val="32"/>
          <w:szCs w:val="32"/>
        </w:rPr>
        <w:fldChar w:fldCharType="end"/>
      </w:r>
      <w:r>
        <w:rPr>
          <w:rFonts w:eastAsia="仿宋"/>
          <w:kern w:val="0"/>
          <w:sz w:val="32"/>
          <w:szCs w:val="32"/>
        </w:rPr>
        <w:t>面试专家构成原则:</w:t>
      </w:r>
      <w:r>
        <w:rPr>
          <w:rFonts w:eastAsia="仿宋"/>
          <w:sz w:val="32"/>
          <w:szCs w:val="32"/>
        </w:rPr>
        <w:t>组建由学院高级职称人员、学生工作专职人员组成的专家库，学院根据学生报考情况决定面试专家组组数，每组专家不少于5人，专家均从专家库中抽取。</w:t>
      </w:r>
    </w:p>
    <w:p>
      <w:pPr>
        <w:pStyle w:val="12"/>
        <w:spacing w:line="560" w:lineRule="exact"/>
        <w:ind w:left="708" w:leftChars="337" w:firstLine="419" w:firstLineChars="131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fldChar w:fldCharType="begin"/>
      </w:r>
      <w:r>
        <w:rPr>
          <w:rFonts w:eastAsia="仿宋"/>
          <w:kern w:val="0"/>
          <w:sz w:val="32"/>
          <w:szCs w:val="32"/>
        </w:rPr>
        <w:instrText xml:space="preserve">= 2 \* GB3</w:instrText>
      </w:r>
      <w:r>
        <w:rPr>
          <w:rFonts w:eastAsia="仿宋"/>
          <w:kern w:val="0"/>
          <w:sz w:val="32"/>
          <w:szCs w:val="32"/>
        </w:rPr>
        <w:fldChar w:fldCharType="separate"/>
      </w:r>
      <w:r>
        <w:rPr>
          <w:rFonts w:hint="eastAsia" w:ascii="宋体" w:hAnsi="宋体" w:cs="宋体"/>
          <w:kern w:val="0"/>
          <w:sz w:val="32"/>
          <w:szCs w:val="32"/>
        </w:rPr>
        <w:t>②</w:t>
      </w:r>
      <w:r>
        <w:rPr>
          <w:rFonts w:eastAsia="仿宋"/>
          <w:kern w:val="0"/>
          <w:sz w:val="32"/>
          <w:szCs w:val="32"/>
        </w:rPr>
        <w:fldChar w:fldCharType="end"/>
      </w:r>
      <w:r>
        <w:rPr>
          <w:rFonts w:eastAsia="仿宋"/>
          <w:kern w:val="0"/>
          <w:sz w:val="32"/>
          <w:szCs w:val="32"/>
        </w:rPr>
        <w:t>方式：提前半天</w:t>
      </w:r>
      <w:r>
        <w:rPr>
          <w:rFonts w:eastAsia="仿宋"/>
          <w:sz w:val="32"/>
          <w:szCs w:val="32"/>
        </w:rPr>
        <w:t>从专家库中抽取并</w:t>
      </w:r>
      <w:r>
        <w:rPr>
          <w:rFonts w:eastAsia="仿宋"/>
          <w:kern w:val="0"/>
          <w:sz w:val="32"/>
          <w:szCs w:val="32"/>
        </w:rPr>
        <w:t>通知转专业面试专家组成员。</w:t>
      </w:r>
    </w:p>
    <w:p>
      <w:pPr>
        <w:pStyle w:val="12"/>
        <w:spacing w:line="560" w:lineRule="exact"/>
        <w:ind w:left="480" w:firstLine="480" w:firstLineChars="150"/>
        <w:rPr>
          <w:rFonts w:eastAsia="仿宋"/>
          <w:kern w:val="0"/>
          <w:sz w:val="32"/>
          <w:szCs w:val="32"/>
        </w:rPr>
      </w:pPr>
      <w:r>
        <w:rPr>
          <w:rFonts w:eastAsia="仿宋"/>
          <w:sz w:val="32"/>
          <w:szCs w:val="32"/>
        </w:rPr>
        <w:t>2）、</w:t>
      </w:r>
      <w:r>
        <w:rPr>
          <w:rFonts w:eastAsia="仿宋"/>
          <w:kern w:val="0"/>
          <w:sz w:val="32"/>
          <w:szCs w:val="32"/>
        </w:rPr>
        <w:t>面试内容、范围</w:t>
      </w:r>
    </w:p>
    <w:p>
      <w:pPr>
        <w:pStyle w:val="12"/>
        <w:spacing w:line="560" w:lineRule="exact"/>
        <w:ind w:left="708" w:leftChars="337" w:firstLine="419" w:firstLineChars="131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由转专业</w:t>
      </w:r>
      <w:r>
        <w:rPr>
          <w:rFonts w:eastAsia="仿宋"/>
          <w:kern w:val="0"/>
          <w:sz w:val="32"/>
          <w:szCs w:val="32"/>
        </w:rPr>
        <w:t>面试专家</w:t>
      </w:r>
      <w:r>
        <w:rPr>
          <w:rFonts w:eastAsia="仿宋"/>
          <w:sz w:val="32"/>
          <w:szCs w:val="32"/>
        </w:rPr>
        <w:t>组成员进行面试，主要围绕</w:t>
      </w:r>
      <w:r>
        <w:rPr>
          <w:rFonts w:eastAsia="仿宋"/>
          <w:kern w:val="0"/>
          <w:sz w:val="32"/>
          <w:szCs w:val="32"/>
        </w:rPr>
        <w:t>学生的</w:t>
      </w:r>
      <w:r>
        <w:rPr>
          <w:rFonts w:eastAsia="仿宋"/>
          <w:sz w:val="32"/>
          <w:szCs w:val="32"/>
        </w:rPr>
        <w:t>转专业的动机、学业基础、特长等方面，对学生的综合素质进行考核。</w:t>
      </w:r>
    </w:p>
    <w:p>
      <w:pPr>
        <w:pStyle w:val="12"/>
        <w:spacing w:line="560" w:lineRule="exact"/>
        <w:ind w:left="480" w:firstLine="480" w:firstLineChars="150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3）、面试出题、打分原则、面试程序、面试总分评定</w:t>
      </w:r>
    </w:p>
    <w:p>
      <w:pPr>
        <w:spacing w:line="560" w:lineRule="exact"/>
        <w:ind w:left="991" w:leftChars="472" w:firstLine="278" w:firstLineChars="87"/>
        <w:rPr>
          <w:rFonts w:eastAsia="仿宋"/>
          <w:kern w:val="0"/>
          <w:sz w:val="32"/>
          <w:szCs w:val="32"/>
        </w:rPr>
      </w:pPr>
      <w:r>
        <w:rPr>
          <w:rFonts w:eastAsia="仿宋"/>
          <w:sz w:val="32"/>
          <w:szCs w:val="32"/>
        </w:rPr>
        <w:fldChar w:fldCharType="begin"/>
      </w:r>
      <w:r>
        <w:rPr>
          <w:rFonts w:eastAsia="仿宋"/>
          <w:sz w:val="32"/>
          <w:szCs w:val="32"/>
        </w:rPr>
        <w:instrText xml:space="preserve">= 1 \* GB3</w:instrText>
      </w:r>
      <w:r>
        <w:rPr>
          <w:rFonts w:eastAsia="仿宋"/>
          <w:sz w:val="32"/>
          <w:szCs w:val="32"/>
        </w:rPr>
        <w:fldChar w:fldCharType="separate"/>
      </w:r>
      <w:r>
        <w:rPr>
          <w:rFonts w:hint="eastAsia" w:ascii="宋体" w:hAnsi="宋体" w:cs="宋体"/>
          <w:sz w:val="32"/>
          <w:szCs w:val="32"/>
        </w:rPr>
        <w:t>①</w:t>
      </w:r>
      <w:r>
        <w:rPr>
          <w:rFonts w:eastAsia="仿宋"/>
          <w:sz w:val="32"/>
          <w:szCs w:val="32"/>
        </w:rPr>
        <w:fldChar w:fldCharType="end"/>
      </w:r>
      <w:r>
        <w:rPr>
          <w:rFonts w:eastAsia="仿宋"/>
          <w:kern w:val="0"/>
          <w:sz w:val="32"/>
          <w:szCs w:val="32"/>
        </w:rPr>
        <w:t>面试出题</w:t>
      </w:r>
    </w:p>
    <w:p>
      <w:pPr>
        <w:pStyle w:val="12"/>
        <w:spacing w:line="560" w:lineRule="exact"/>
        <w:ind w:left="1134" w:firstLine="640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学院邀请经验丰富、有学科背景的专家命题，并于面试前1天专家出题，严格把关题目的保密工作。</w:t>
      </w:r>
    </w:p>
    <w:p>
      <w:pPr>
        <w:spacing w:line="560" w:lineRule="exact"/>
        <w:ind w:left="991" w:leftChars="472" w:firstLine="278" w:firstLineChars="87"/>
        <w:rPr>
          <w:rFonts w:eastAsia="仿宋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fldChar w:fldCharType="begin"/>
      </w:r>
      <w:r>
        <w:rPr>
          <w:rFonts w:eastAsia="仿宋"/>
          <w:kern w:val="0"/>
          <w:sz w:val="32"/>
          <w:szCs w:val="32"/>
        </w:rPr>
        <w:instrText xml:space="preserve">= 2 \* GB3</w:instrText>
      </w:r>
      <w:r>
        <w:rPr>
          <w:rFonts w:eastAsia="仿宋"/>
          <w:kern w:val="0"/>
          <w:sz w:val="32"/>
          <w:szCs w:val="32"/>
        </w:rPr>
        <w:fldChar w:fldCharType="separate"/>
      </w:r>
      <w:r>
        <w:rPr>
          <w:rFonts w:hint="eastAsia" w:ascii="宋体" w:hAnsi="宋体" w:cs="宋体"/>
          <w:kern w:val="0"/>
          <w:sz w:val="32"/>
          <w:szCs w:val="32"/>
        </w:rPr>
        <w:t>②</w:t>
      </w:r>
      <w:r>
        <w:rPr>
          <w:rFonts w:eastAsia="仿宋"/>
          <w:kern w:val="0"/>
          <w:sz w:val="32"/>
          <w:szCs w:val="32"/>
        </w:rPr>
        <w:fldChar w:fldCharType="end"/>
      </w:r>
      <w:r>
        <w:rPr>
          <w:rFonts w:eastAsia="仿宋"/>
          <w:kern w:val="0"/>
          <w:sz w:val="32"/>
          <w:szCs w:val="32"/>
        </w:rPr>
        <w:t>面试总分评定原则</w:t>
      </w:r>
    </w:p>
    <w:p>
      <w:pPr>
        <w:pStyle w:val="12"/>
        <w:spacing w:line="560" w:lineRule="exact"/>
        <w:ind w:left="1134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转专业</w:t>
      </w:r>
      <w:r>
        <w:rPr>
          <w:rFonts w:eastAsia="仿宋"/>
          <w:kern w:val="0"/>
          <w:sz w:val="32"/>
          <w:szCs w:val="32"/>
        </w:rPr>
        <w:t>面试专家</w:t>
      </w:r>
      <w:r>
        <w:rPr>
          <w:rFonts w:eastAsia="仿宋"/>
          <w:sz w:val="32"/>
          <w:szCs w:val="32"/>
        </w:rPr>
        <w:t>组本着公平、公正的原则共同评定学生的综合得分，打分表中不出现学生姓名等信息，仅提供学生的抽签序号、申报转入专业信息，学生</w:t>
      </w:r>
      <w:r>
        <w:rPr>
          <w:rFonts w:eastAsia="仿宋"/>
          <w:color w:val="000000" w:themeColor="text1"/>
          <w:sz w:val="32"/>
          <w:szCs w:val="32"/>
        </w:rPr>
        <w:t>面试时</w:t>
      </w:r>
      <w:r>
        <w:rPr>
          <w:rFonts w:eastAsia="仿宋"/>
          <w:sz w:val="32"/>
          <w:szCs w:val="32"/>
        </w:rPr>
        <w:t>不介绍自己的姓名。面试现场转专业</w:t>
      </w:r>
      <w:r>
        <w:rPr>
          <w:rFonts w:eastAsia="仿宋"/>
          <w:kern w:val="0"/>
          <w:sz w:val="32"/>
          <w:szCs w:val="32"/>
        </w:rPr>
        <w:t>面试专家</w:t>
      </w:r>
      <w:r>
        <w:rPr>
          <w:rFonts w:eastAsia="仿宋"/>
          <w:sz w:val="32"/>
          <w:szCs w:val="32"/>
        </w:rPr>
        <w:t>组不提问，根据学生现场答题汇报情况综合打分，面试成绩去掉最高分和最低分取平均分</w:t>
      </w:r>
      <w:r>
        <w:rPr>
          <w:rFonts w:eastAsia="仿宋"/>
          <w:kern w:val="0"/>
          <w:sz w:val="32"/>
          <w:szCs w:val="32"/>
        </w:rPr>
        <w:t>（保留小数点后面两位数）</w:t>
      </w:r>
      <w:r>
        <w:rPr>
          <w:rFonts w:eastAsia="仿宋"/>
          <w:sz w:val="32"/>
          <w:szCs w:val="32"/>
        </w:rPr>
        <w:t>。面试当场算出分数，由学生在成绩单上签字确认。</w:t>
      </w:r>
    </w:p>
    <w:p>
      <w:pPr>
        <w:spacing w:line="560" w:lineRule="exact"/>
        <w:ind w:left="424" w:leftChars="202" w:firstLine="425" w:firstLineChars="133"/>
        <w:rPr>
          <w:rFonts w:eastAsia="仿宋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4）、面试程序</w:t>
      </w:r>
    </w:p>
    <w:p>
      <w:pPr>
        <w:pStyle w:val="12"/>
        <w:spacing w:line="560" w:lineRule="exact"/>
        <w:ind w:left="709" w:firstLine="640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提前3天通知学生面试时间、地点。面试当天提前半小时抽签，面试学生集中一个会议室等待面试，抽签决定面试小组和面试顺序，每位学生准备3分钟，面试3分钟，面试同一份试卷。</w:t>
      </w:r>
    </w:p>
    <w:p>
      <w:pPr>
        <w:pStyle w:val="12"/>
        <w:spacing w:line="560" w:lineRule="exact"/>
        <w:ind w:left="709" w:firstLine="0" w:firstLineChars="0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5）、面试成绩构成</w:t>
      </w:r>
      <w:r>
        <w:rPr>
          <w:rFonts w:eastAsia="仿宋"/>
          <w:kern w:val="0"/>
          <w:sz w:val="32"/>
          <w:szCs w:val="32"/>
        </w:rPr>
        <w:br w:type="textWrapping"/>
      </w:r>
      <w:r>
        <w:rPr>
          <w:rFonts w:eastAsia="仿宋"/>
          <w:kern w:val="0"/>
          <w:sz w:val="32"/>
          <w:szCs w:val="32"/>
        </w:rPr>
        <w:t>面试总分100分，动机及目标30分、学业基础30分、特长10分、表达沟通能力10分、行为举止10分、学习潜力10分。</w:t>
      </w:r>
    </w:p>
    <w:p>
      <w:pPr>
        <w:pStyle w:val="12"/>
        <w:numPr>
          <w:ilvl w:val="0"/>
          <w:numId w:val="1"/>
        </w:numPr>
        <w:spacing w:line="560" w:lineRule="exact"/>
        <w:ind w:left="0" w:firstLine="0" w:firstLineChars="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考核总成绩评定</w:t>
      </w:r>
    </w:p>
    <w:p>
      <w:pPr>
        <w:pStyle w:val="12"/>
        <w:numPr>
          <w:ilvl w:val="0"/>
          <w:numId w:val="2"/>
        </w:numPr>
        <w:spacing w:line="560" w:lineRule="exact"/>
        <w:ind w:left="851" w:hanging="284" w:firstLineChars="0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资格审核通过后一志愿报名人数小于等于该专业计划数，学生不需要参加学校和学院组织的考核，直接被录取；</w:t>
      </w:r>
    </w:p>
    <w:p>
      <w:pPr>
        <w:pStyle w:val="12"/>
        <w:numPr>
          <w:ilvl w:val="0"/>
          <w:numId w:val="2"/>
        </w:numPr>
        <w:spacing w:line="560" w:lineRule="exact"/>
        <w:ind w:left="851" w:hanging="284" w:firstLineChars="0"/>
        <w:rPr>
          <w:rFonts w:eastAsia="仿宋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资格审核通过后一志愿报名人数大于计划数的，考核总成绩=学校组织的英语笔试成绩*50%+学院组织的面试考核分数*50%。</w:t>
      </w:r>
    </w:p>
    <w:p>
      <w:pPr>
        <w:pStyle w:val="12"/>
        <w:numPr>
          <w:ilvl w:val="0"/>
          <w:numId w:val="2"/>
        </w:numPr>
        <w:spacing w:line="560" w:lineRule="exact"/>
        <w:ind w:left="851" w:hanging="284" w:firstLineChars="0"/>
        <w:rPr>
          <w:rFonts w:eastAsia="仿宋"/>
          <w:kern w:val="0"/>
          <w:sz w:val="32"/>
          <w:szCs w:val="32"/>
        </w:rPr>
      </w:pPr>
      <w:r>
        <w:rPr>
          <w:rFonts w:eastAsia="仿宋"/>
          <w:kern w:val="0"/>
          <w:sz w:val="32"/>
          <w:szCs w:val="32"/>
        </w:rPr>
        <w:t>二志愿考核总成绩=学校组织的英语笔试成绩*50%+学院组织的面试考核分数*50%。</w:t>
      </w:r>
    </w:p>
    <w:p>
      <w:pPr>
        <w:spacing w:line="56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学院按照学生考核总成绩，对拟转入专业学生按照专业志愿优先、分数从高到低排序（考核总分相同者按学校组织的笔试成绩从高到低排序，若分数仍相同，则组织新一轮面试）。</w:t>
      </w:r>
    </w:p>
    <w:p>
      <w:pPr>
        <w:pStyle w:val="12"/>
        <w:numPr>
          <w:ilvl w:val="0"/>
          <w:numId w:val="1"/>
        </w:numPr>
        <w:spacing w:line="560" w:lineRule="exact"/>
        <w:ind w:left="0" w:firstLine="0" w:firstLineChars="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转入同年级学习的学生，须获得转入专业下列学科基础课程二分之一及以上学分。</w:t>
      </w:r>
    </w:p>
    <w:p>
      <w:pPr>
        <w:pStyle w:val="12"/>
        <w:spacing w:line="560" w:lineRule="exact"/>
        <w:ind w:left="426" w:firstLine="0" w:firstLineChars="0"/>
        <w:rPr>
          <w:rFonts w:eastAsia="仿宋"/>
          <w:color w:val="000000"/>
          <w:sz w:val="32"/>
          <w:szCs w:val="32"/>
        </w:rPr>
      </w:pPr>
      <w:r>
        <w:rPr>
          <w:rFonts w:eastAsia="仿宋"/>
          <w:sz w:val="32"/>
          <w:szCs w:val="32"/>
        </w:rPr>
        <w:t>2020级学科基础课</w:t>
      </w:r>
      <w:r>
        <w:rPr>
          <w:rFonts w:eastAsia="仿宋"/>
          <w:color w:val="000000"/>
          <w:sz w:val="32"/>
          <w:szCs w:val="32"/>
        </w:rPr>
        <w:t>程：</w:t>
      </w:r>
    </w:p>
    <w:tbl>
      <w:tblPr>
        <w:tblStyle w:val="6"/>
        <w:tblW w:w="900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1843"/>
        <w:gridCol w:w="1842"/>
        <w:gridCol w:w="993"/>
        <w:gridCol w:w="992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专业</w:t>
            </w:r>
          </w:p>
        </w:tc>
        <w:tc>
          <w:tcPr>
            <w:tcW w:w="1843" w:type="dxa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课程号</w:t>
            </w:r>
          </w:p>
        </w:tc>
        <w:tc>
          <w:tcPr>
            <w:tcW w:w="1842" w:type="dxa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课程名称</w:t>
            </w:r>
          </w:p>
        </w:tc>
        <w:tc>
          <w:tcPr>
            <w:tcW w:w="993" w:type="dxa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学时</w:t>
            </w:r>
          </w:p>
        </w:tc>
        <w:tc>
          <w:tcPr>
            <w:tcW w:w="992" w:type="dxa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学分</w:t>
            </w:r>
          </w:p>
        </w:tc>
        <w:tc>
          <w:tcPr>
            <w:tcW w:w="1814" w:type="dxa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自动化、</w:t>
            </w:r>
          </w:p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电气工程及其自动化、</w:t>
            </w:r>
          </w:p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建筑电气与智能化、机器人工程</w:t>
            </w: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176121012</w:t>
            </w:r>
          </w:p>
        </w:tc>
        <w:tc>
          <w:tcPr>
            <w:tcW w:w="1842" w:type="dxa"/>
            <w:vAlign w:val="center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创造学与创新实践</w:t>
            </w:r>
          </w:p>
        </w:tc>
        <w:tc>
          <w:tcPr>
            <w:tcW w:w="993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32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2</w:t>
            </w:r>
          </w:p>
        </w:tc>
        <w:tc>
          <w:tcPr>
            <w:tcW w:w="1814" w:type="dxa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176021001</w:t>
            </w:r>
          </w:p>
        </w:tc>
        <w:tc>
          <w:tcPr>
            <w:tcW w:w="1842" w:type="dxa"/>
            <w:vAlign w:val="center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高等数学A(一）</w:t>
            </w:r>
          </w:p>
        </w:tc>
        <w:tc>
          <w:tcPr>
            <w:tcW w:w="993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96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6</w:t>
            </w:r>
          </w:p>
        </w:tc>
        <w:tc>
          <w:tcPr>
            <w:tcW w:w="1814" w:type="dxa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  <w:vMerge w:val="continue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176021002</w:t>
            </w:r>
          </w:p>
        </w:tc>
        <w:tc>
          <w:tcPr>
            <w:tcW w:w="1842" w:type="dxa"/>
            <w:vAlign w:val="center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高等数学A（二）</w:t>
            </w:r>
          </w:p>
        </w:tc>
        <w:tc>
          <w:tcPr>
            <w:tcW w:w="993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80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5</w:t>
            </w:r>
          </w:p>
        </w:tc>
        <w:tc>
          <w:tcPr>
            <w:tcW w:w="1814" w:type="dxa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</w:trPr>
        <w:tc>
          <w:tcPr>
            <w:tcW w:w="1519" w:type="dxa"/>
            <w:vMerge w:val="continue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176021008</w:t>
            </w:r>
          </w:p>
        </w:tc>
        <w:tc>
          <w:tcPr>
            <w:tcW w:w="1842" w:type="dxa"/>
            <w:vAlign w:val="center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大学物理B(一）</w:t>
            </w:r>
          </w:p>
        </w:tc>
        <w:tc>
          <w:tcPr>
            <w:tcW w:w="993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48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大学物理A（一）且大于3学分54学时可冲抵此课程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  <w:vMerge w:val="continue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176021017</w:t>
            </w:r>
          </w:p>
        </w:tc>
        <w:tc>
          <w:tcPr>
            <w:tcW w:w="1842" w:type="dxa"/>
            <w:vAlign w:val="center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线性代数A</w:t>
            </w:r>
          </w:p>
        </w:tc>
        <w:tc>
          <w:tcPr>
            <w:tcW w:w="993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48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519" w:type="dxa"/>
            <w:vMerge w:val="continue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176131003</w:t>
            </w:r>
          </w:p>
        </w:tc>
        <w:tc>
          <w:tcPr>
            <w:tcW w:w="1842" w:type="dxa"/>
            <w:vAlign w:val="center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高级语言程序设计C</w:t>
            </w:r>
          </w:p>
        </w:tc>
        <w:tc>
          <w:tcPr>
            <w:tcW w:w="993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72</w:t>
            </w:r>
          </w:p>
        </w:tc>
        <w:tc>
          <w:tcPr>
            <w:tcW w:w="992" w:type="dxa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3.5</w:t>
            </w:r>
          </w:p>
        </w:tc>
        <w:tc>
          <w:tcPr>
            <w:tcW w:w="1814" w:type="dxa"/>
          </w:tcPr>
          <w:p>
            <w:pPr>
              <w:spacing w:line="560" w:lineRule="exact"/>
              <w:rPr>
                <w:rFonts w:eastAsia="仿宋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eastAsia="仿宋"/>
          <w:sz w:val="32"/>
          <w:szCs w:val="32"/>
        </w:rPr>
      </w:pPr>
    </w:p>
    <w:p>
      <w:pPr>
        <w:pStyle w:val="12"/>
        <w:numPr>
          <w:ilvl w:val="0"/>
          <w:numId w:val="1"/>
        </w:numPr>
        <w:spacing w:line="560" w:lineRule="exact"/>
        <w:ind w:left="0" w:firstLine="0" w:firstLineChars="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学院根据考核总成绩按照转入年级从高分到低分顺序录取，将拟录取名单报教务处审核、公示。</w:t>
      </w:r>
    </w:p>
    <w:p>
      <w:pPr>
        <w:pStyle w:val="12"/>
        <w:numPr>
          <w:ilvl w:val="0"/>
          <w:numId w:val="1"/>
        </w:numPr>
        <w:spacing w:line="560" w:lineRule="exact"/>
        <w:ind w:left="426" w:hanging="426" w:firstLineChars="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监督、监察等参与、邀请方式及其相关措施</w:t>
      </w:r>
    </w:p>
    <w:p>
      <w:pPr>
        <w:spacing w:line="560" w:lineRule="exact"/>
        <w:ind w:firstLine="800" w:firstLineChars="2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提前半天邀请纪检监察员全程参与。</w:t>
      </w:r>
    </w:p>
    <w:p>
      <w:pPr>
        <w:spacing w:line="560" w:lineRule="exact"/>
        <w:rPr>
          <w:rFonts w:eastAsia="仿宋"/>
          <w:sz w:val="32"/>
          <w:szCs w:val="32"/>
        </w:rPr>
      </w:pP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附1：电气工程学院2020级全日制本科学生转专业工作领导组名单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组长：华亮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副组长：刘芸、周平、徐一鸣、张新松、卢成</w:t>
      </w:r>
    </w:p>
    <w:p>
      <w:pPr>
        <w:spacing w:line="560" w:lineRule="exact"/>
        <w:ind w:left="800" w:hanging="800" w:hangingChars="2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成员：杨奕、羌予践、瞿遂春、吴晓新、郭晓丽、陶慧、许霞</w:t>
      </w:r>
    </w:p>
    <w:p>
      <w:pPr>
        <w:spacing w:line="560" w:lineRule="exact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学院咨询电话：85012603   学院举报电话：85012612  </w:t>
      </w:r>
    </w:p>
    <w:p>
      <w:pPr>
        <w:pStyle w:val="12"/>
        <w:spacing w:line="560" w:lineRule="exact"/>
        <w:ind w:left="-2" w:firstLine="0" w:firstLineChars="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附2：电气工程学院2020级转专业QQ群号：205821554，验证申请统一格式为：转专业申请，进群后昵称统一格式为：姓名+学号，例：张三2026110001。</w:t>
      </w:r>
    </w:p>
    <w:p>
      <w:pPr>
        <w:pStyle w:val="12"/>
        <w:spacing w:line="560" w:lineRule="exact"/>
        <w:ind w:left="-2" w:firstLine="0" w:firstLineChars="0"/>
        <w:rPr>
          <w:rFonts w:eastAsia="仿宋"/>
          <w:sz w:val="32"/>
          <w:szCs w:val="32"/>
        </w:rPr>
      </w:pPr>
    </w:p>
    <w:p>
      <w:pPr>
        <w:pStyle w:val="12"/>
        <w:spacing w:line="560" w:lineRule="exact"/>
        <w:ind w:left="-2" w:firstLine="0" w:firstLineChars="0"/>
        <w:rPr>
          <w:rFonts w:eastAsia="仿宋"/>
          <w:sz w:val="32"/>
          <w:szCs w:val="32"/>
        </w:rPr>
      </w:pPr>
    </w:p>
    <w:p>
      <w:pPr>
        <w:spacing w:line="560" w:lineRule="exact"/>
        <w:jc w:val="left"/>
        <w:rPr>
          <w:rFonts w:eastAsia="仿宋"/>
          <w:sz w:val="32"/>
          <w:szCs w:val="32"/>
        </w:rPr>
      </w:pPr>
    </w:p>
    <w:p>
      <w:pPr>
        <w:spacing w:line="560" w:lineRule="exact"/>
        <w:jc w:val="left"/>
        <w:rPr>
          <w:rFonts w:eastAsia="仿宋"/>
          <w:sz w:val="32"/>
          <w:szCs w:val="32"/>
        </w:rPr>
      </w:pPr>
    </w:p>
    <w:p>
      <w:pPr>
        <w:spacing w:line="560" w:lineRule="exact"/>
        <w:jc w:val="left"/>
        <w:rPr>
          <w:rFonts w:eastAsia="仿宋"/>
          <w:sz w:val="32"/>
          <w:szCs w:val="32"/>
        </w:rPr>
      </w:pPr>
    </w:p>
    <w:p>
      <w:pPr>
        <w:spacing w:line="560" w:lineRule="exact"/>
        <w:jc w:val="left"/>
        <w:rPr>
          <w:rFonts w:eastAsia="仿宋"/>
          <w:sz w:val="32"/>
          <w:szCs w:val="32"/>
        </w:rPr>
      </w:pPr>
    </w:p>
    <w:p>
      <w:pPr>
        <w:spacing w:line="560" w:lineRule="exact"/>
        <w:jc w:val="left"/>
        <w:rPr>
          <w:rFonts w:eastAsia="仿宋"/>
          <w:sz w:val="32"/>
          <w:szCs w:val="32"/>
        </w:rPr>
      </w:pPr>
    </w:p>
    <w:p>
      <w:pPr>
        <w:spacing w:line="560" w:lineRule="exact"/>
        <w:jc w:val="left"/>
        <w:rPr>
          <w:rFonts w:eastAsia="仿宋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-2237740</wp:posOffset>
            </wp:positionV>
            <wp:extent cx="1943735" cy="252349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000" cy="252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60" w:lineRule="exact"/>
        <w:ind w:left="2100"/>
        <w:jc w:val="righ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南通大学电气工程学院</w:t>
      </w:r>
    </w:p>
    <w:p>
      <w:pPr>
        <w:spacing w:line="560" w:lineRule="exact"/>
        <w:jc w:val="righ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                        2021年5月12日</w:t>
      </w:r>
    </w:p>
    <w:sectPr>
      <w:pgSz w:w="11906" w:h="16838"/>
      <w:pgMar w:top="1134" w:right="1559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D5397"/>
    <w:multiLevelType w:val="multilevel"/>
    <w:tmpl w:val="477D5397"/>
    <w:lvl w:ilvl="0" w:tentative="0">
      <w:start w:val="1"/>
      <w:numFmt w:val="decimal"/>
      <w:lvlText w:val="%1、"/>
      <w:lvlJc w:val="left"/>
      <w:pPr>
        <w:ind w:left="1847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967" w:hanging="420"/>
      </w:pPr>
    </w:lvl>
    <w:lvl w:ilvl="2" w:tentative="0">
      <w:start w:val="1"/>
      <w:numFmt w:val="lowerRoman"/>
      <w:lvlText w:val="%3."/>
      <w:lvlJc w:val="right"/>
      <w:pPr>
        <w:ind w:left="2387" w:hanging="420"/>
      </w:pPr>
    </w:lvl>
    <w:lvl w:ilvl="3" w:tentative="0">
      <w:start w:val="1"/>
      <w:numFmt w:val="decimal"/>
      <w:lvlText w:val="%4."/>
      <w:lvlJc w:val="left"/>
      <w:pPr>
        <w:ind w:left="2807" w:hanging="420"/>
      </w:pPr>
    </w:lvl>
    <w:lvl w:ilvl="4" w:tentative="0">
      <w:start w:val="1"/>
      <w:numFmt w:val="lowerLetter"/>
      <w:lvlText w:val="%5)"/>
      <w:lvlJc w:val="left"/>
      <w:pPr>
        <w:ind w:left="3227" w:hanging="420"/>
      </w:pPr>
    </w:lvl>
    <w:lvl w:ilvl="5" w:tentative="0">
      <w:start w:val="1"/>
      <w:numFmt w:val="lowerRoman"/>
      <w:lvlText w:val="%6."/>
      <w:lvlJc w:val="right"/>
      <w:pPr>
        <w:ind w:left="3647" w:hanging="420"/>
      </w:pPr>
    </w:lvl>
    <w:lvl w:ilvl="6" w:tentative="0">
      <w:start w:val="1"/>
      <w:numFmt w:val="decimal"/>
      <w:lvlText w:val="%7."/>
      <w:lvlJc w:val="left"/>
      <w:pPr>
        <w:ind w:left="4067" w:hanging="420"/>
      </w:pPr>
    </w:lvl>
    <w:lvl w:ilvl="7" w:tentative="0">
      <w:start w:val="1"/>
      <w:numFmt w:val="lowerLetter"/>
      <w:lvlText w:val="%8)"/>
      <w:lvlJc w:val="left"/>
      <w:pPr>
        <w:ind w:left="4487" w:hanging="420"/>
      </w:pPr>
    </w:lvl>
    <w:lvl w:ilvl="8" w:tentative="0">
      <w:start w:val="1"/>
      <w:numFmt w:val="lowerRoman"/>
      <w:lvlText w:val="%9."/>
      <w:lvlJc w:val="right"/>
      <w:pPr>
        <w:ind w:left="4907" w:hanging="420"/>
      </w:pPr>
    </w:lvl>
  </w:abstractNum>
  <w:abstractNum w:abstractNumId="1">
    <w:nsid w:val="496F6789"/>
    <w:multiLevelType w:val="multilevel"/>
    <w:tmpl w:val="496F6789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 w:ascii="仿宋" w:hAnsi="仿宋" w:eastAsia="仿宋"/>
        <w:sz w:val="32"/>
        <w:szCs w:val="32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6F8B"/>
    <w:rsid w:val="0000003E"/>
    <w:rsid w:val="00002A66"/>
    <w:rsid w:val="0000595C"/>
    <w:rsid w:val="0001560F"/>
    <w:rsid w:val="00023510"/>
    <w:rsid w:val="0008242D"/>
    <w:rsid w:val="0008373A"/>
    <w:rsid w:val="000847D6"/>
    <w:rsid w:val="00085254"/>
    <w:rsid w:val="00094DE7"/>
    <w:rsid w:val="00095700"/>
    <w:rsid w:val="000A0226"/>
    <w:rsid w:val="000A5F44"/>
    <w:rsid w:val="000B20B8"/>
    <w:rsid w:val="000B560E"/>
    <w:rsid w:val="000D7800"/>
    <w:rsid w:val="000E7794"/>
    <w:rsid w:val="000F75AA"/>
    <w:rsid w:val="000F7EDB"/>
    <w:rsid w:val="00101935"/>
    <w:rsid w:val="001042B7"/>
    <w:rsid w:val="0010475A"/>
    <w:rsid w:val="00113AA0"/>
    <w:rsid w:val="00116964"/>
    <w:rsid w:val="001324F2"/>
    <w:rsid w:val="00132BEA"/>
    <w:rsid w:val="0013613C"/>
    <w:rsid w:val="00143220"/>
    <w:rsid w:val="00145B8D"/>
    <w:rsid w:val="00155083"/>
    <w:rsid w:val="00155B00"/>
    <w:rsid w:val="00157EB5"/>
    <w:rsid w:val="001650E3"/>
    <w:rsid w:val="00173098"/>
    <w:rsid w:val="0019089C"/>
    <w:rsid w:val="001933F5"/>
    <w:rsid w:val="0019580A"/>
    <w:rsid w:val="001A7773"/>
    <w:rsid w:val="001C2811"/>
    <w:rsid w:val="001C3A8A"/>
    <w:rsid w:val="001C3D4F"/>
    <w:rsid w:val="001D242D"/>
    <w:rsid w:val="001D2FE3"/>
    <w:rsid w:val="001D7D01"/>
    <w:rsid w:val="001E58DC"/>
    <w:rsid w:val="001E756C"/>
    <w:rsid w:val="001F4FEC"/>
    <w:rsid w:val="00203D40"/>
    <w:rsid w:val="00206807"/>
    <w:rsid w:val="00231AE8"/>
    <w:rsid w:val="00241B58"/>
    <w:rsid w:val="00242908"/>
    <w:rsid w:val="00274999"/>
    <w:rsid w:val="00284AAA"/>
    <w:rsid w:val="00294EB6"/>
    <w:rsid w:val="002B212A"/>
    <w:rsid w:val="002C4C75"/>
    <w:rsid w:val="002E0FF8"/>
    <w:rsid w:val="002E1663"/>
    <w:rsid w:val="002F52EC"/>
    <w:rsid w:val="002F7841"/>
    <w:rsid w:val="00301D10"/>
    <w:rsid w:val="00302EBF"/>
    <w:rsid w:val="00323FAE"/>
    <w:rsid w:val="00353813"/>
    <w:rsid w:val="00357194"/>
    <w:rsid w:val="0036089C"/>
    <w:rsid w:val="00363321"/>
    <w:rsid w:val="00370EBB"/>
    <w:rsid w:val="00375E32"/>
    <w:rsid w:val="00381D3E"/>
    <w:rsid w:val="00386650"/>
    <w:rsid w:val="003867AD"/>
    <w:rsid w:val="00392DF9"/>
    <w:rsid w:val="00394BE9"/>
    <w:rsid w:val="003A4DE8"/>
    <w:rsid w:val="003B5CBD"/>
    <w:rsid w:val="003D17C2"/>
    <w:rsid w:val="003D36B7"/>
    <w:rsid w:val="003E1F34"/>
    <w:rsid w:val="003E3483"/>
    <w:rsid w:val="003E4A80"/>
    <w:rsid w:val="003E6A9B"/>
    <w:rsid w:val="0040456C"/>
    <w:rsid w:val="00422AF8"/>
    <w:rsid w:val="00430878"/>
    <w:rsid w:val="004330ED"/>
    <w:rsid w:val="00433AA2"/>
    <w:rsid w:val="0043405E"/>
    <w:rsid w:val="00440972"/>
    <w:rsid w:val="00450F7B"/>
    <w:rsid w:val="00457708"/>
    <w:rsid w:val="00462E91"/>
    <w:rsid w:val="0046668E"/>
    <w:rsid w:val="00472DAB"/>
    <w:rsid w:val="004846D8"/>
    <w:rsid w:val="00484D95"/>
    <w:rsid w:val="004A31DF"/>
    <w:rsid w:val="004B0154"/>
    <w:rsid w:val="004B52DD"/>
    <w:rsid w:val="004C7061"/>
    <w:rsid w:val="004E3F14"/>
    <w:rsid w:val="004E4567"/>
    <w:rsid w:val="004E4688"/>
    <w:rsid w:val="004E48C3"/>
    <w:rsid w:val="004E61A8"/>
    <w:rsid w:val="004F0EF9"/>
    <w:rsid w:val="004F50F8"/>
    <w:rsid w:val="00502620"/>
    <w:rsid w:val="00502813"/>
    <w:rsid w:val="005041EC"/>
    <w:rsid w:val="00512FCD"/>
    <w:rsid w:val="00520D02"/>
    <w:rsid w:val="00527369"/>
    <w:rsid w:val="00527FF9"/>
    <w:rsid w:val="00551EAE"/>
    <w:rsid w:val="005536F6"/>
    <w:rsid w:val="005570A1"/>
    <w:rsid w:val="00562577"/>
    <w:rsid w:val="00566817"/>
    <w:rsid w:val="0056762C"/>
    <w:rsid w:val="005738B0"/>
    <w:rsid w:val="005832EF"/>
    <w:rsid w:val="00584C23"/>
    <w:rsid w:val="00587A50"/>
    <w:rsid w:val="005B2E95"/>
    <w:rsid w:val="005C6EB2"/>
    <w:rsid w:val="005D51D4"/>
    <w:rsid w:val="005D5F86"/>
    <w:rsid w:val="005D7BFB"/>
    <w:rsid w:val="005E7712"/>
    <w:rsid w:val="005F387A"/>
    <w:rsid w:val="00600CA5"/>
    <w:rsid w:val="00613A98"/>
    <w:rsid w:val="006310DF"/>
    <w:rsid w:val="0064286B"/>
    <w:rsid w:val="00650AB1"/>
    <w:rsid w:val="006517C4"/>
    <w:rsid w:val="00651C95"/>
    <w:rsid w:val="00653100"/>
    <w:rsid w:val="00653302"/>
    <w:rsid w:val="0065726E"/>
    <w:rsid w:val="00661196"/>
    <w:rsid w:val="00661A52"/>
    <w:rsid w:val="00670A25"/>
    <w:rsid w:val="00673030"/>
    <w:rsid w:val="00680423"/>
    <w:rsid w:val="00685831"/>
    <w:rsid w:val="00687295"/>
    <w:rsid w:val="006B04ED"/>
    <w:rsid w:val="006B19AE"/>
    <w:rsid w:val="006B7D29"/>
    <w:rsid w:val="006C26DF"/>
    <w:rsid w:val="006C7B11"/>
    <w:rsid w:val="006E4DE2"/>
    <w:rsid w:val="006E5455"/>
    <w:rsid w:val="006E757C"/>
    <w:rsid w:val="006F3E42"/>
    <w:rsid w:val="006F5AFF"/>
    <w:rsid w:val="006F6358"/>
    <w:rsid w:val="00715322"/>
    <w:rsid w:val="00722E1B"/>
    <w:rsid w:val="0072361B"/>
    <w:rsid w:val="007403D4"/>
    <w:rsid w:val="00745256"/>
    <w:rsid w:val="00747EE0"/>
    <w:rsid w:val="007525FF"/>
    <w:rsid w:val="007536F2"/>
    <w:rsid w:val="00755DCA"/>
    <w:rsid w:val="00773BC0"/>
    <w:rsid w:val="00775834"/>
    <w:rsid w:val="00791384"/>
    <w:rsid w:val="007B2367"/>
    <w:rsid w:val="007B2B9B"/>
    <w:rsid w:val="007B6A12"/>
    <w:rsid w:val="007C15C5"/>
    <w:rsid w:val="007C4327"/>
    <w:rsid w:val="007E38A4"/>
    <w:rsid w:val="007E684A"/>
    <w:rsid w:val="008006F7"/>
    <w:rsid w:val="00804CDA"/>
    <w:rsid w:val="00820B2E"/>
    <w:rsid w:val="00821D1A"/>
    <w:rsid w:val="00850D72"/>
    <w:rsid w:val="00855380"/>
    <w:rsid w:val="008823C4"/>
    <w:rsid w:val="008859C4"/>
    <w:rsid w:val="00886659"/>
    <w:rsid w:val="008870D9"/>
    <w:rsid w:val="008A6DA0"/>
    <w:rsid w:val="008B1CB5"/>
    <w:rsid w:val="008B4F29"/>
    <w:rsid w:val="008B71C0"/>
    <w:rsid w:val="008B7F61"/>
    <w:rsid w:val="008C105E"/>
    <w:rsid w:val="008D73FB"/>
    <w:rsid w:val="008E6ACE"/>
    <w:rsid w:val="008E6E27"/>
    <w:rsid w:val="008F0F6F"/>
    <w:rsid w:val="008F30E1"/>
    <w:rsid w:val="00916F11"/>
    <w:rsid w:val="00921121"/>
    <w:rsid w:val="00924380"/>
    <w:rsid w:val="00932756"/>
    <w:rsid w:val="009339B3"/>
    <w:rsid w:val="00935AD8"/>
    <w:rsid w:val="00943E0B"/>
    <w:rsid w:val="00950A42"/>
    <w:rsid w:val="00960342"/>
    <w:rsid w:val="0096065C"/>
    <w:rsid w:val="00975077"/>
    <w:rsid w:val="009770F2"/>
    <w:rsid w:val="00987B45"/>
    <w:rsid w:val="00997433"/>
    <w:rsid w:val="009A05B1"/>
    <w:rsid w:val="009A1D48"/>
    <w:rsid w:val="009B287E"/>
    <w:rsid w:val="009B6AC9"/>
    <w:rsid w:val="009C3323"/>
    <w:rsid w:val="009D19D6"/>
    <w:rsid w:val="009D4571"/>
    <w:rsid w:val="009E0DE1"/>
    <w:rsid w:val="009F080F"/>
    <w:rsid w:val="009F2DC0"/>
    <w:rsid w:val="00A109C3"/>
    <w:rsid w:val="00A13975"/>
    <w:rsid w:val="00A23994"/>
    <w:rsid w:val="00A46C7B"/>
    <w:rsid w:val="00A65767"/>
    <w:rsid w:val="00A71E48"/>
    <w:rsid w:val="00A753FC"/>
    <w:rsid w:val="00A85441"/>
    <w:rsid w:val="00A90898"/>
    <w:rsid w:val="00A93FF9"/>
    <w:rsid w:val="00AB09E3"/>
    <w:rsid w:val="00AB6ED5"/>
    <w:rsid w:val="00AE448F"/>
    <w:rsid w:val="00AE53F4"/>
    <w:rsid w:val="00AE629E"/>
    <w:rsid w:val="00AF193E"/>
    <w:rsid w:val="00AF5A72"/>
    <w:rsid w:val="00AF6B2C"/>
    <w:rsid w:val="00B12D60"/>
    <w:rsid w:val="00B2498E"/>
    <w:rsid w:val="00B25E25"/>
    <w:rsid w:val="00B3101D"/>
    <w:rsid w:val="00B43CE1"/>
    <w:rsid w:val="00B5127E"/>
    <w:rsid w:val="00B51F8A"/>
    <w:rsid w:val="00B67A59"/>
    <w:rsid w:val="00B727AC"/>
    <w:rsid w:val="00B729E0"/>
    <w:rsid w:val="00B7396B"/>
    <w:rsid w:val="00B76102"/>
    <w:rsid w:val="00B77787"/>
    <w:rsid w:val="00B82F01"/>
    <w:rsid w:val="00BA4914"/>
    <w:rsid w:val="00BB2CC9"/>
    <w:rsid w:val="00BC03D9"/>
    <w:rsid w:val="00BC5484"/>
    <w:rsid w:val="00BC5B93"/>
    <w:rsid w:val="00BD177C"/>
    <w:rsid w:val="00BD6A26"/>
    <w:rsid w:val="00BF0596"/>
    <w:rsid w:val="00BF1DB8"/>
    <w:rsid w:val="00BF6424"/>
    <w:rsid w:val="00BF6512"/>
    <w:rsid w:val="00BF6738"/>
    <w:rsid w:val="00C11FFA"/>
    <w:rsid w:val="00C15C7B"/>
    <w:rsid w:val="00C37430"/>
    <w:rsid w:val="00C41F0D"/>
    <w:rsid w:val="00C424AE"/>
    <w:rsid w:val="00C427C3"/>
    <w:rsid w:val="00C72E95"/>
    <w:rsid w:val="00C73F91"/>
    <w:rsid w:val="00C73FE4"/>
    <w:rsid w:val="00C8236D"/>
    <w:rsid w:val="00C83947"/>
    <w:rsid w:val="00C90DB8"/>
    <w:rsid w:val="00C93B28"/>
    <w:rsid w:val="00CB37D1"/>
    <w:rsid w:val="00CB4408"/>
    <w:rsid w:val="00CB5EAF"/>
    <w:rsid w:val="00CD3F8C"/>
    <w:rsid w:val="00CD40AF"/>
    <w:rsid w:val="00CE42A4"/>
    <w:rsid w:val="00CF3D54"/>
    <w:rsid w:val="00D00C36"/>
    <w:rsid w:val="00D01709"/>
    <w:rsid w:val="00D01DEF"/>
    <w:rsid w:val="00D12F73"/>
    <w:rsid w:val="00D202C5"/>
    <w:rsid w:val="00D242F0"/>
    <w:rsid w:val="00D25A9F"/>
    <w:rsid w:val="00D32C79"/>
    <w:rsid w:val="00D41E81"/>
    <w:rsid w:val="00D435C0"/>
    <w:rsid w:val="00D444D7"/>
    <w:rsid w:val="00D47D86"/>
    <w:rsid w:val="00D54604"/>
    <w:rsid w:val="00D66F8B"/>
    <w:rsid w:val="00D92588"/>
    <w:rsid w:val="00D94EA3"/>
    <w:rsid w:val="00D953FF"/>
    <w:rsid w:val="00DA1BC9"/>
    <w:rsid w:val="00DA2866"/>
    <w:rsid w:val="00DC2EB3"/>
    <w:rsid w:val="00DE1EA3"/>
    <w:rsid w:val="00DE2C21"/>
    <w:rsid w:val="00DE4A97"/>
    <w:rsid w:val="00DF31D9"/>
    <w:rsid w:val="00DF60C0"/>
    <w:rsid w:val="00E037DA"/>
    <w:rsid w:val="00E13211"/>
    <w:rsid w:val="00E15E4E"/>
    <w:rsid w:val="00E22AF0"/>
    <w:rsid w:val="00E2743C"/>
    <w:rsid w:val="00E27525"/>
    <w:rsid w:val="00E3749E"/>
    <w:rsid w:val="00E37F54"/>
    <w:rsid w:val="00E42A65"/>
    <w:rsid w:val="00E63208"/>
    <w:rsid w:val="00E64BCC"/>
    <w:rsid w:val="00E85455"/>
    <w:rsid w:val="00E96F5A"/>
    <w:rsid w:val="00EA501A"/>
    <w:rsid w:val="00EA58B4"/>
    <w:rsid w:val="00EB1253"/>
    <w:rsid w:val="00EB569C"/>
    <w:rsid w:val="00EE1432"/>
    <w:rsid w:val="00EE4B43"/>
    <w:rsid w:val="00EF0866"/>
    <w:rsid w:val="00F119E2"/>
    <w:rsid w:val="00F15E58"/>
    <w:rsid w:val="00F16CAF"/>
    <w:rsid w:val="00F21901"/>
    <w:rsid w:val="00F40499"/>
    <w:rsid w:val="00F56DF1"/>
    <w:rsid w:val="00F65060"/>
    <w:rsid w:val="00F702B1"/>
    <w:rsid w:val="00F84767"/>
    <w:rsid w:val="00F974CE"/>
    <w:rsid w:val="00FD65D8"/>
    <w:rsid w:val="00FF6D68"/>
    <w:rsid w:val="27863925"/>
    <w:rsid w:val="76905E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uiPriority w:val="99"/>
    <w:rPr>
      <w:color w:val="auto"/>
      <w:u w:val="single"/>
    </w:rPr>
  </w:style>
  <w:style w:type="character" w:customStyle="1" w:styleId="10">
    <w:name w:val="页眉 字符"/>
    <w:link w:val="4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link w:val="3"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字符"/>
    <w:link w:val="2"/>
    <w:qFormat/>
    <w:locked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9A02E7-1D1B-4C3A-8A96-0FAEC96154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1836</Characters>
  <Lines>15</Lines>
  <Paragraphs>4</Paragraphs>
  <TotalTime>478</TotalTime>
  <ScaleCrop>false</ScaleCrop>
  <LinksUpToDate>false</LinksUpToDate>
  <CharactersWithSpaces>2154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2018-11-12T07:24:00Z</dcterms:created>
  <dc:creator>系统管理员</dc:creator>
  <cp:lastModifiedBy>小明</cp:lastModifiedBy>
  <cp:lastPrinted>2019-06-13T12:40:00Z</cp:lastPrinted>
  <dcterms:modified xsi:type="dcterms:W3CDTF">2021-05-12T11:10:44Z</dcterms:modified>
  <cp:revision>241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